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0E" w:rsidRDefault="000579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790E" w:rsidRDefault="0005790E">
      <w:pPr>
        <w:pStyle w:val="ConsPlusNormal"/>
        <w:outlineLvl w:val="0"/>
      </w:pPr>
    </w:p>
    <w:p w:rsidR="0005790E" w:rsidRDefault="0005790E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05790E" w:rsidRDefault="0005790E">
      <w:pPr>
        <w:pStyle w:val="ConsPlusTitle"/>
        <w:jc w:val="center"/>
      </w:pPr>
    </w:p>
    <w:p w:rsidR="0005790E" w:rsidRDefault="0005790E">
      <w:pPr>
        <w:pStyle w:val="ConsPlusTitle"/>
        <w:jc w:val="center"/>
      </w:pPr>
      <w:r>
        <w:t>РЕШЕНИЕ</w:t>
      </w:r>
    </w:p>
    <w:p w:rsidR="0005790E" w:rsidRDefault="0005790E">
      <w:pPr>
        <w:pStyle w:val="ConsPlusTitle"/>
        <w:jc w:val="center"/>
      </w:pPr>
      <w:r>
        <w:t>от 12 июля 2011 г. N 668</w:t>
      </w:r>
    </w:p>
    <w:p w:rsidR="0005790E" w:rsidRDefault="0005790E">
      <w:pPr>
        <w:pStyle w:val="ConsPlusTitle"/>
        <w:jc w:val="center"/>
      </w:pPr>
    </w:p>
    <w:p w:rsidR="0005790E" w:rsidRDefault="0005790E">
      <w:pPr>
        <w:pStyle w:val="ConsPlusTitle"/>
        <w:jc w:val="center"/>
      </w:pPr>
      <w:r>
        <w:t>О ВНЕСЕНИИ ИЗМЕНЕНИЙ В РЕШЕНИЕ</w:t>
      </w:r>
    </w:p>
    <w:p w:rsidR="0005790E" w:rsidRDefault="0005790E">
      <w:pPr>
        <w:pStyle w:val="ConsPlusTitle"/>
        <w:jc w:val="center"/>
      </w:pPr>
      <w:r>
        <w:t xml:space="preserve">ДУМЫ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05790E" w:rsidRDefault="0005790E">
      <w:pPr>
        <w:pStyle w:val="ConsPlusTitle"/>
        <w:jc w:val="center"/>
      </w:pPr>
      <w:r>
        <w:t>ОТ 30 ИЮНЯ 2009 ГОДА N 324 "О ПОРЯДКЕ ОПРЕДЕЛЕНИЯ РАЗМЕРА</w:t>
      </w:r>
    </w:p>
    <w:p w:rsidR="0005790E" w:rsidRDefault="0005790E">
      <w:pPr>
        <w:pStyle w:val="ConsPlusTitle"/>
        <w:jc w:val="center"/>
      </w:pPr>
      <w:r>
        <w:t xml:space="preserve">АРЕНДНОЙ ПЛАТЫ ЗА ЗЕМЛИ, НАХОДЯЩИЕСЯ </w:t>
      </w:r>
      <w:proofErr w:type="gramStart"/>
      <w:r>
        <w:t>В</w:t>
      </w:r>
      <w:proofErr w:type="gramEnd"/>
      <w:r>
        <w:t xml:space="preserve"> МУНИЦИПАЛЬНОЙ</w:t>
      </w:r>
    </w:p>
    <w:p w:rsidR="0005790E" w:rsidRDefault="0005790E">
      <w:pPr>
        <w:pStyle w:val="ConsPlusTitle"/>
        <w:jc w:val="center"/>
      </w:pPr>
      <w:r>
        <w:t xml:space="preserve">СОБСТВЕННОСТИ ГОРОДСКОГО </w:t>
      </w:r>
      <w:proofErr w:type="gramStart"/>
      <w:r>
        <w:t>ОКРУГА</w:t>
      </w:r>
      <w:proofErr w:type="gramEnd"/>
      <w:r>
        <w:t xml:space="preserve"> ЗАТО БОЛЬШОЙ КАМЕНЬ"</w:t>
      </w:r>
    </w:p>
    <w:p w:rsidR="0005790E" w:rsidRDefault="0005790E">
      <w:pPr>
        <w:pStyle w:val="ConsPlusNormal"/>
        <w:ind w:firstLine="540"/>
        <w:jc w:val="both"/>
      </w:pPr>
    </w:p>
    <w:p w:rsidR="0005790E" w:rsidRDefault="0005790E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30 декабря 2010 года N 437-па "О результатах государственной кадастровой оценки земель населенных пунктов Приморского края" существенно увеличена кадастровая стоимость земельных участков, расположенных под объектами промышленности, торговли, общественного питания, оздоровительного и рекреационного назначения, жилищно-коммунального хозяйства.</w:t>
      </w:r>
    </w:p>
    <w:p w:rsidR="0005790E" w:rsidRDefault="0005790E">
      <w:pPr>
        <w:pStyle w:val="ConsPlusNormal"/>
        <w:spacing w:before="220"/>
        <w:ind w:firstLine="540"/>
        <w:jc w:val="both"/>
      </w:pPr>
      <w:r>
        <w:t xml:space="preserve">Принимая во внимание решение координационного совета по малому и среднему предпринимательству при главе городского </w:t>
      </w:r>
      <w:proofErr w:type="gramStart"/>
      <w:r>
        <w:t>округа</w:t>
      </w:r>
      <w:proofErr w:type="gramEnd"/>
      <w:r>
        <w:t xml:space="preserve"> ЗАТО Большой Камень от 3 мая 2011 года, в целях поддержки арендаторов земельных участков, осуществляющих производственную деятельность, оптимизации нагрузки на субъекты малого и среднего предпринимательства и недопущения роста тарифов на жилищно-коммунальные услуги, руководствуясь Порядком управления и распоряжения имуществом, находящимся в муниципальной собственности городского округа ЗАТО Большой Камень,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05790E" w:rsidRDefault="0005790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30 июня 2009 года N 324 "О Порядке определения размера арендной платы за земли, находящиеся в муниципальной собственности городского округа ЗАТО Большой Камень" следующие изменения:</w:t>
      </w:r>
    </w:p>
    <w:p w:rsidR="0005790E" w:rsidRDefault="0005790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пункты 6</w:t>
        </w:r>
      </w:hyperlink>
      <w:r>
        <w:t xml:space="preserve">, </w:t>
      </w:r>
      <w:hyperlink r:id="rId10" w:history="1">
        <w:r>
          <w:rPr>
            <w:color w:val="0000FF"/>
          </w:rPr>
          <w:t>8</w:t>
        </w:r>
      </w:hyperlink>
      <w:r>
        <w:t xml:space="preserve">, </w:t>
      </w:r>
      <w:hyperlink r:id="rId11" w:history="1">
        <w:r>
          <w:rPr>
            <w:color w:val="0000FF"/>
          </w:rPr>
          <w:t>11</w:t>
        </w:r>
      </w:hyperlink>
      <w:r>
        <w:t xml:space="preserve"> - </w:t>
      </w:r>
      <w:hyperlink r:id="rId12" w:history="1">
        <w:r>
          <w:rPr>
            <w:color w:val="0000FF"/>
          </w:rPr>
          <w:t>13</w:t>
        </w:r>
      </w:hyperlink>
      <w:r>
        <w:t xml:space="preserve">, </w:t>
      </w:r>
      <w:hyperlink r:id="rId13" w:history="1">
        <w:r>
          <w:rPr>
            <w:color w:val="0000FF"/>
          </w:rPr>
          <w:t>16</w:t>
        </w:r>
      </w:hyperlink>
      <w:r>
        <w:t xml:space="preserve"> - </w:t>
      </w:r>
      <w:hyperlink r:id="rId14" w:history="1">
        <w:r>
          <w:rPr>
            <w:color w:val="0000FF"/>
          </w:rPr>
          <w:t>17</w:t>
        </w:r>
      </w:hyperlink>
      <w:r>
        <w:t xml:space="preserve">, </w:t>
      </w:r>
      <w:hyperlink r:id="rId15" w:history="1">
        <w:r>
          <w:rPr>
            <w:color w:val="0000FF"/>
          </w:rPr>
          <w:t>20</w:t>
        </w:r>
      </w:hyperlink>
      <w:r>
        <w:t xml:space="preserve">, </w:t>
      </w:r>
      <w:hyperlink r:id="rId16" w:history="1">
        <w:r>
          <w:rPr>
            <w:color w:val="0000FF"/>
          </w:rPr>
          <w:t>22 части 2</w:t>
        </w:r>
      </w:hyperlink>
      <w:r>
        <w:t xml:space="preserve"> изложить в следующей редакции:</w:t>
      </w:r>
    </w:p>
    <w:p w:rsidR="0005790E" w:rsidRDefault="0005790E">
      <w:pPr>
        <w:pStyle w:val="ConsPlusNormal"/>
        <w:spacing w:before="220"/>
        <w:ind w:firstLine="540"/>
        <w:jc w:val="both"/>
      </w:pPr>
      <w:r>
        <w:t>"6) 0,4 процента в отношении земельных участков, предоставленных под промышленные объекты</w:t>
      </w:r>
      <w:proofErr w:type="gramStart"/>
      <w:r>
        <w:t>;"</w:t>
      </w:r>
      <w:proofErr w:type="gramEnd"/>
      <w:r>
        <w:t>;</w:t>
      </w:r>
    </w:p>
    <w:p w:rsidR="0005790E" w:rsidRDefault="0005790E">
      <w:pPr>
        <w:pStyle w:val="ConsPlusNormal"/>
        <w:spacing w:before="220"/>
        <w:ind w:firstLine="540"/>
        <w:jc w:val="both"/>
      </w:pPr>
      <w:r>
        <w:t>"8) 5 процентов в отношении земельных участков, предоставленных под строительство и эксплуатацию лодочных гаражей</w:t>
      </w:r>
      <w:proofErr w:type="gramStart"/>
      <w:r>
        <w:t>;"</w:t>
      </w:r>
      <w:proofErr w:type="gramEnd"/>
      <w:r>
        <w:t>;</w:t>
      </w:r>
    </w:p>
    <w:p w:rsidR="0005790E" w:rsidRDefault="0005790E">
      <w:pPr>
        <w:pStyle w:val="ConsPlusNormal"/>
        <w:spacing w:before="220"/>
        <w:ind w:firstLine="540"/>
        <w:jc w:val="both"/>
      </w:pPr>
      <w:r>
        <w:t>"11) 2 процента в отношении земельных участков, предоставленных под объекты торговли</w:t>
      </w:r>
      <w:proofErr w:type="gramStart"/>
      <w:r>
        <w:t>;"</w:t>
      </w:r>
      <w:proofErr w:type="gramEnd"/>
      <w:r>
        <w:t>;</w:t>
      </w:r>
    </w:p>
    <w:p w:rsidR="0005790E" w:rsidRDefault="0005790E">
      <w:pPr>
        <w:pStyle w:val="ConsPlusNormal"/>
        <w:spacing w:before="220"/>
        <w:ind w:firstLine="540"/>
        <w:jc w:val="both"/>
      </w:pPr>
      <w:r>
        <w:t>"12) 1,8 процента в отношении земельных участков, предоставленных под объекты общественного питания</w:t>
      </w:r>
      <w:proofErr w:type="gramStart"/>
      <w:r>
        <w:t>;"</w:t>
      </w:r>
      <w:proofErr w:type="gramEnd"/>
      <w:r>
        <w:t>;</w:t>
      </w:r>
    </w:p>
    <w:p w:rsidR="0005790E" w:rsidRDefault="0005790E">
      <w:pPr>
        <w:pStyle w:val="ConsPlusNormal"/>
        <w:spacing w:before="220"/>
        <w:ind w:firstLine="540"/>
        <w:jc w:val="both"/>
      </w:pPr>
      <w:r>
        <w:t>"13) 50 процентов в отношении земельных участков, предоставленных под временные объекты торговли и общественного питания, павильоны, киоски</w:t>
      </w:r>
      <w:proofErr w:type="gramStart"/>
      <w:r>
        <w:t>;"</w:t>
      </w:r>
      <w:proofErr w:type="gramEnd"/>
      <w:r>
        <w:t>;</w:t>
      </w:r>
    </w:p>
    <w:p w:rsidR="0005790E" w:rsidRDefault="0005790E">
      <w:pPr>
        <w:pStyle w:val="ConsPlusNormal"/>
        <w:spacing w:before="220"/>
        <w:ind w:firstLine="540"/>
        <w:jc w:val="both"/>
      </w:pPr>
      <w:r>
        <w:t>"16) 5 процентов в отношении земельных участков, предоставленных под объекты оздоровительного и рекреационного назначения (базы отдыха)</w:t>
      </w:r>
      <w:proofErr w:type="gramStart"/>
      <w:r>
        <w:t>;"</w:t>
      </w:r>
      <w:proofErr w:type="gramEnd"/>
      <w:r>
        <w:t>;</w:t>
      </w:r>
    </w:p>
    <w:p w:rsidR="0005790E" w:rsidRDefault="000579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79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0E" w:rsidRDefault="000579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0E" w:rsidRDefault="000579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90E" w:rsidRDefault="0005790E">
            <w:pPr>
              <w:pStyle w:val="ConsPlusNormal"/>
              <w:jc w:val="both"/>
            </w:pPr>
            <w:r>
              <w:rPr>
                <w:color w:val="392C69"/>
              </w:rPr>
              <w:t>Абзац девятый части первой вступил в силу с 1 января 2012 года (</w:t>
            </w:r>
            <w:hyperlink w:anchor="P28" w:history="1">
              <w:r>
                <w:rPr>
                  <w:color w:val="0000FF"/>
                </w:rPr>
                <w:t>абзац 2 части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0E" w:rsidRDefault="0005790E">
            <w:pPr>
              <w:spacing w:after="1" w:line="0" w:lineRule="atLeast"/>
            </w:pPr>
          </w:p>
        </w:tc>
      </w:tr>
    </w:tbl>
    <w:p w:rsidR="0005790E" w:rsidRDefault="0005790E">
      <w:pPr>
        <w:pStyle w:val="ConsPlusNormal"/>
        <w:spacing w:before="280"/>
        <w:ind w:firstLine="540"/>
        <w:jc w:val="both"/>
      </w:pPr>
      <w:bookmarkStart w:id="0" w:name="P23"/>
      <w:bookmarkEnd w:id="0"/>
      <w:r>
        <w:lastRenderedPageBreak/>
        <w:t>"17) 10 процентов в отношении земельных участков, предоставленных под объекты оздоровительного и рекреационного назначения (строительство баз отдыха)</w:t>
      </w:r>
      <w:proofErr w:type="gramStart"/>
      <w:r>
        <w:t>;"</w:t>
      </w:r>
      <w:proofErr w:type="gramEnd"/>
      <w:r>
        <w:t>;</w:t>
      </w:r>
    </w:p>
    <w:p w:rsidR="0005790E" w:rsidRDefault="000579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579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0E" w:rsidRDefault="000579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0E" w:rsidRDefault="000579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790E" w:rsidRDefault="0005790E">
            <w:pPr>
              <w:pStyle w:val="ConsPlusNormal"/>
              <w:jc w:val="both"/>
            </w:pPr>
            <w:r>
              <w:rPr>
                <w:color w:val="392C69"/>
              </w:rPr>
              <w:t>Абзац десятый части первой вступил в силу со дня официального опубликования (</w:t>
            </w:r>
            <w:hyperlink w:anchor="P28" w:history="1">
              <w:r>
                <w:rPr>
                  <w:color w:val="0000FF"/>
                </w:rPr>
                <w:t>абзац 2 части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0E" w:rsidRDefault="0005790E">
            <w:pPr>
              <w:spacing w:after="1" w:line="0" w:lineRule="atLeast"/>
            </w:pPr>
          </w:p>
        </w:tc>
      </w:tr>
    </w:tbl>
    <w:p w:rsidR="0005790E" w:rsidRDefault="0005790E">
      <w:pPr>
        <w:pStyle w:val="ConsPlusNormal"/>
        <w:spacing w:before="280"/>
        <w:ind w:firstLine="540"/>
        <w:jc w:val="both"/>
      </w:pPr>
      <w:bookmarkStart w:id="1" w:name="P25"/>
      <w:bookmarkEnd w:id="1"/>
      <w:r>
        <w:t>"20) 4 процента в отношении земель сельскохозяйственного использования, предоставленных под сенокосы и пастбища</w:t>
      </w:r>
      <w:proofErr w:type="gramStart"/>
      <w:r>
        <w:t>;"</w:t>
      </w:r>
      <w:proofErr w:type="gramEnd"/>
      <w:r>
        <w:t>;</w:t>
      </w:r>
    </w:p>
    <w:p w:rsidR="0005790E" w:rsidRDefault="0005790E">
      <w:pPr>
        <w:pStyle w:val="ConsPlusNormal"/>
        <w:spacing w:before="220"/>
        <w:ind w:firstLine="540"/>
        <w:jc w:val="both"/>
      </w:pPr>
      <w:r>
        <w:t>"22) 0,06 процента в отношении земельных участков, предоставленных под объекты коммунального хозяйства</w:t>
      </w:r>
      <w:proofErr w:type="gramStart"/>
      <w:r>
        <w:t>.".</w:t>
      </w:r>
      <w:proofErr w:type="gramEnd"/>
    </w:p>
    <w:p w:rsidR="0005790E" w:rsidRDefault="0005790E">
      <w:pPr>
        <w:pStyle w:val="ConsPlusNormal"/>
        <w:spacing w:before="220"/>
        <w:ind w:firstLine="540"/>
        <w:jc w:val="both"/>
      </w:pPr>
      <w:r>
        <w:t xml:space="preserve">2. Настоящее решение вступает в силу со дня его официального опубликования и распространяется на правоотношения, возникшие с 1 января 2011 года, за исключением </w:t>
      </w:r>
      <w:hyperlink w:anchor="P23" w:history="1">
        <w:r>
          <w:rPr>
            <w:color w:val="0000FF"/>
          </w:rPr>
          <w:t>абзацев девятого</w:t>
        </w:r>
      </w:hyperlink>
      <w:r>
        <w:t xml:space="preserve"> и </w:t>
      </w:r>
      <w:hyperlink w:anchor="P25" w:history="1">
        <w:r>
          <w:rPr>
            <w:color w:val="0000FF"/>
          </w:rPr>
          <w:t>десятого части первой</w:t>
        </w:r>
      </w:hyperlink>
      <w:r>
        <w:t xml:space="preserve"> настоящего решения.</w:t>
      </w:r>
    </w:p>
    <w:bookmarkStart w:id="2" w:name="P28"/>
    <w:bookmarkEnd w:id="2"/>
    <w:p w:rsidR="0005790E" w:rsidRDefault="0005790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"P23" </w:instrText>
      </w:r>
      <w:r>
        <w:fldChar w:fldCharType="separate"/>
      </w:r>
      <w:r>
        <w:rPr>
          <w:color w:val="0000FF"/>
        </w:rPr>
        <w:t>Абзац девятый части первой</w:t>
      </w:r>
      <w:r w:rsidRPr="00B05BB3">
        <w:rPr>
          <w:color w:val="0000FF"/>
        </w:rPr>
        <w:fldChar w:fldCharType="end"/>
      </w:r>
      <w:r>
        <w:t xml:space="preserve"> настоящего решения вступает в силу с 1 января 2012 года, </w:t>
      </w:r>
      <w:hyperlink w:anchor="P25" w:history="1">
        <w:r>
          <w:rPr>
            <w:color w:val="0000FF"/>
          </w:rPr>
          <w:t>абзац десятый части первой</w:t>
        </w:r>
      </w:hyperlink>
      <w:r>
        <w:t xml:space="preserve"> настоящего решения вступает в силу со дня официального опубликования настоящего решения.</w:t>
      </w:r>
    </w:p>
    <w:p w:rsidR="0005790E" w:rsidRDefault="0005790E">
      <w:pPr>
        <w:pStyle w:val="ConsPlusNormal"/>
        <w:ind w:firstLine="540"/>
        <w:jc w:val="both"/>
      </w:pPr>
    </w:p>
    <w:p w:rsidR="0005790E" w:rsidRDefault="0005790E">
      <w:pPr>
        <w:pStyle w:val="ConsPlusNormal"/>
        <w:jc w:val="right"/>
      </w:pPr>
      <w:r>
        <w:t>И.о. главы городского округа</w:t>
      </w:r>
    </w:p>
    <w:p w:rsidR="0005790E" w:rsidRDefault="0005790E">
      <w:pPr>
        <w:pStyle w:val="ConsPlusNormal"/>
        <w:jc w:val="right"/>
      </w:pPr>
      <w:r>
        <w:t>А.В.КЛЕЦКИН</w:t>
      </w:r>
    </w:p>
    <w:p w:rsidR="0005790E" w:rsidRDefault="0005790E">
      <w:pPr>
        <w:pStyle w:val="ConsPlusNormal"/>
        <w:ind w:firstLine="540"/>
        <w:jc w:val="both"/>
      </w:pPr>
    </w:p>
    <w:p w:rsidR="0005790E" w:rsidRDefault="0005790E">
      <w:pPr>
        <w:pStyle w:val="ConsPlusNormal"/>
        <w:ind w:firstLine="540"/>
        <w:jc w:val="both"/>
      </w:pPr>
    </w:p>
    <w:p w:rsidR="0005790E" w:rsidRDefault="000579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B57" w:rsidRDefault="00025B57">
      <w:bookmarkStart w:id="3" w:name="_GoBack"/>
      <w:bookmarkEnd w:id="3"/>
    </w:p>
    <w:sectPr w:rsidR="00025B57" w:rsidSect="0035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0E"/>
    <w:rsid w:val="00025B57"/>
    <w:rsid w:val="000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21518B3F110FD8F4AF98E199C9839E1D7C527E1771C963D304072359562E23CCB7DF6C2203CA7CAEB1E65F4DEBF8C224ECE" TargetMode="External"/><Relationship Id="rId13" Type="http://schemas.openxmlformats.org/officeDocument/2006/relationships/hyperlink" Target="consultantplus://offline/ref=A921518B3F110FD8F4AF98E199C9839E1D7C527E1073CF60D504072359562E23CCB7DF7E225BC67CA6AFE45A58BDA9841BBAE2D80AFCF42FCA6D482EE7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21518B3F110FD8F4AF98E199C9839E1D7C527E1770C566D904072359562E23CCB7DF7E225BC67CA6A8EF5B58BDA9841BBAE2D80AFCF42FCA6D482EE7E" TargetMode="External"/><Relationship Id="rId12" Type="http://schemas.openxmlformats.org/officeDocument/2006/relationships/hyperlink" Target="consultantplus://offline/ref=A921518B3F110FD8F4AF98E199C9839E1D7C527E1073CF60D504072359562E23CCB7DF7E225BC67CA6AFE45958BDA9841BBAE2D80AFCF42FCA6D482EE7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21518B3F110FD8F4AF98E199C9839E1D7C527E1073CF60D504072359562E23CCB7DF7E225BC67CA6AFE45058BDA9841BBAE2D80AFCF42FCA6D482EE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21518B3F110FD8F4AF98E199C9839E1D7C527E1777C565D204072359562E23CCB7DF6C2203CA7CAEB1E65F4DEBF8C224ECE" TargetMode="External"/><Relationship Id="rId11" Type="http://schemas.openxmlformats.org/officeDocument/2006/relationships/hyperlink" Target="consultantplus://offline/ref=A921518B3F110FD8F4AF98E199C9839E1D7C527E1073CF60D504072359562E23CCB7DF7E225BC67CA6AFE75158BDA9841BBAE2D80AFCF42FCA6D482EE7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921518B3F110FD8F4AF98E199C9839E1D7C527E1073CF60D504072359562E23CCB7DF7E225BC67CA6AFE45E58BDA9841BBAE2D80AFCF42FCA6D482EE7E" TargetMode="External"/><Relationship Id="rId10" Type="http://schemas.openxmlformats.org/officeDocument/2006/relationships/hyperlink" Target="consultantplus://offline/ref=A921518B3F110FD8F4AF98E199C9839E1D7C527E1073CF60D504072359562E23CCB7DF7E225BC67CA6AFE75C58BDA9841BBAE2D80AFCF42FCA6D482EE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21518B3F110FD8F4AF98E199C9839E1D7C527E1073CF60D504072359562E23CCB7DF7E225BC67CA6AFE75A58BDA9841BBAE2D80AFCF42FCA6D482EE7E" TargetMode="External"/><Relationship Id="rId14" Type="http://schemas.openxmlformats.org/officeDocument/2006/relationships/hyperlink" Target="consultantplus://offline/ref=A921518B3F110FD8F4AF98E199C9839E1D7C527E1771C963D304072359562E23CCB7DF7E225BC67CA6AFE45D58BDA9841BBAE2D80AFCF42FCA6D482E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2022-06-08T04:04:00Z</dcterms:created>
  <dcterms:modified xsi:type="dcterms:W3CDTF">2022-06-08T04:05:00Z</dcterms:modified>
</cp:coreProperties>
</file>