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54" w:rsidRDefault="00A074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7454" w:rsidRDefault="00A07454">
      <w:pPr>
        <w:pStyle w:val="ConsPlusNormal"/>
        <w:jc w:val="both"/>
        <w:outlineLvl w:val="0"/>
      </w:pPr>
    </w:p>
    <w:p w:rsidR="00A07454" w:rsidRDefault="00A07454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A07454" w:rsidRDefault="00A07454">
      <w:pPr>
        <w:pStyle w:val="ConsPlusTitle"/>
        <w:jc w:val="center"/>
      </w:pPr>
      <w:r>
        <w:t>ПРИМОРСКОГО КРАЯ</w:t>
      </w:r>
    </w:p>
    <w:p w:rsidR="00A07454" w:rsidRDefault="00A07454">
      <w:pPr>
        <w:pStyle w:val="ConsPlusTitle"/>
        <w:jc w:val="both"/>
      </w:pPr>
    </w:p>
    <w:p w:rsidR="00A07454" w:rsidRDefault="00A07454">
      <w:pPr>
        <w:pStyle w:val="ConsPlusTitle"/>
        <w:jc w:val="center"/>
      </w:pPr>
      <w:r>
        <w:t>РЕШЕНИЕ</w:t>
      </w:r>
    </w:p>
    <w:p w:rsidR="00A07454" w:rsidRDefault="00A07454">
      <w:pPr>
        <w:pStyle w:val="ConsPlusTitle"/>
        <w:jc w:val="center"/>
      </w:pPr>
      <w:r>
        <w:t>от 19 апреля 2005 г. N 259-Р</w:t>
      </w:r>
    </w:p>
    <w:p w:rsidR="00A07454" w:rsidRDefault="00A07454">
      <w:pPr>
        <w:pStyle w:val="ConsPlusTitle"/>
        <w:jc w:val="both"/>
      </w:pPr>
    </w:p>
    <w:p w:rsidR="00A07454" w:rsidRDefault="00A07454">
      <w:pPr>
        <w:pStyle w:val="ConsPlusTitle"/>
        <w:jc w:val="center"/>
      </w:pPr>
      <w:r>
        <w:t>О ПОЛОЖЕНИИ ОБ ОРГАНИЗАЦИИ ОСВЕЩЕНИЯ УЛИЦ И УСТАНОВКИ</w:t>
      </w:r>
    </w:p>
    <w:p w:rsidR="00A07454" w:rsidRDefault="00A07454">
      <w:pPr>
        <w:pStyle w:val="ConsPlusTitle"/>
        <w:jc w:val="center"/>
      </w:pPr>
      <w:r>
        <w:t>УКАЗАТЕЛЕЙ С НАЗВАНИЯМИ УЛИЦ И НОМЕРАМИ ДОМОВ</w:t>
      </w:r>
    </w:p>
    <w:p w:rsidR="00A07454" w:rsidRDefault="00A074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74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54" w:rsidRDefault="00A0745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54" w:rsidRDefault="00A0745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454" w:rsidRDefault="00A074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454" w:rsidRDefault="00A074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A07454" w:rsidRDefault="00A07454">
            <w:pPr>
              <w:pStyle w:val="ConsPlusNormal"/>
              <w:jc w:val="center"/>
            </w:pPr>
            <w:r>
              <w:rPr>
                <w:color w:val="392C69"/>
              </w:rPr>
              <w:t>от 26.06.2012 N 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54" w:rsidRDefault="00A07454">
            <w:pPr>
              <w:spacing w:after="1" w:line="0" w:lineRule="atLeast"/>
            </w:pPr>
          </w:p>
        </w:tc>
      </w:tr>
    </w:tbl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об организации освещения улиц и установки указателей с названиями улиц и номерами домов (прилагается).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jc w:val="right"/>
      </w:pPr>
      <w:r>
        <w:t>Глава муниципального образования</w:t>
      </w:r>
    </w:p>
    <w:p w:rsidR="00A07454" w:rsidRDefault="00A07454">
      <w:pPr>
        <w:pStyle w:val="ConsPlusNormal"/>
        <w:jc w:val="right"/>
      </w:pPr>
      <w:r>
        <w:t>С.Е.НИКИТИН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jc w:val="right"/>
        <w:outlineLvl w:val="0"/>
      </w:pPr>
      <w:r>
        <w:t>Приложение</w:t>
      </w:r>
    </w:p>
    <w:p w:rsidR="00A07454" w:rsidRDefault="00A07454">
      <w:pPr>
        <w:pStyle w:val="ConsPlusNormal"/>
        <w:jc w:val="right"/>
      </w:pPr>
      <w:r>
        <w:t>к решению</w:t>
      </w:r>
    </w:p>
    <w:p w:rsidR="00A07454" w:rsidRDefault="00A07454">
      <w:pPr>
        <w:pStyle w:val="ConsPlusNormal"/>
        <w:jc w:val="right"/>
      </w:pPr>
      <w:proofErr w:type="gramStart"/>
      <w:r>
        <w:t>Думы</w:t>
      </w:r>
      <w:proofErr w:type="gramEnd"/>
      <w:r>
        <w:t xml:space="preserve"> ЗАТО Большой Камень</w:t>
      </w:r>
    </w:p>
    <w:p w:rsidR="00A07454" w:rsidRDefault="00A07454">
      <w:pPr>
        <w:pStyle w:val="ConsPlusNormal"/>
        <w:jc w:val="right"/>
      </w:pPr>
      <w:r>
        <w:t>от 19.04.2005 N 259-Р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Title"/>
        <w:jc w:val="center"/>
      </w:pPr>
      <w:bookmarkStart w:id="0" w:name="P30"/>
      <w:bookmarkEnd w:id="0"/>
      <w:r>
        <w:t>ПОЛОЖЕНИЕ</w:t>
      </w:r>
    </w:p>
    <w:p w:rsidR="00A07454" w:rsidRDefault="00A07454">
      <w:pPr>
        <w:pStyle w:val="ConsPlusTitle"/>
        <w:jc w:val="center"/>
      </w:pPr>
      <w:r>
        <w:t>ОБ ОРГАНИЗАЦИИ ОСВЕЩЕНИЯ УЛИЦ И УСТАНОВКИ УКАЗАТЕЛЕЙ</w:t>
      </w:r>
    </w:p>
    <w:p w:rsidR="00A07454" w:rsidRDefault="00A07454">
      <w:pPr>
        <w:pStyle w:val="ConsPlusTitle"/>
        <w:jc w:val="center"/>
      </w:pPr>
      <w:r>
        <w:t>С НАЗВАНИЯМИ УЛИЦ И НОМЕРАМИ ДОМОВ</w:t>
      </w:r>
    </w:p>
    <w:p w:rsidR="00A07454" w:rsidRDefault="00A0745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074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54" w:rsidRDefault="00A0745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54" w:rsidRDefault="00A0745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07454" w:rsidRDefault="00A074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7454" w:rsidRDefault="00A074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A07454" w:rsidRDefault="00A07454">
            <w:pPr>
              <w:pStyle w:val="ConsPlusNormal"/>
              <w:jc w:val="center"/>
            </w:pPr>
            <w:r>
              <w:rPr>
                <w:color w:val="392C69"/>
              </w:rPr>
              <w:t>от 26.06.2012 N 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454" w:rsidRDefault="00A07454">
            <w:pPr>
              <w:spacing w:after="1" w:line="0" w:lineRule="atLeast"/>
            </w:pPr>
          </w:p>
        </w:tc>
      </w:tr>
    </w:tbl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ind w:firstLine="540"/>
        <w:jc w:val="both"/>
      </w:pPr>
      <w:r>
        <w:t xml:space="preserve">Настоящим Положением определены требования к освещению улиц и установке указателей с наименованиями и номерами домов и порядок осуществления </w:t>
      </w:r>
      <w:proofErr w:type="gramStart"/>
      <w:r>
        <w:t>контроля за</w:t>
      </w:r>
      <w:proofErr w:type="gramEnd"/>
      <w:r>
        <w:t xml:space="preserve"> освещенностью улиц и наличием указателей с их названием и нумерацией жилых домов.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 xml:space="preserve">Порядок присвоения почтовых адресов и установки указателей с названиями улиц и номерами домов в городском </w:t>
      </w:r>
      <w:proofErr w:type="gramStart"/>
      <w:r>
        <w:t>округе</w:t>
      </w:r>
      <w:proofErr w:type="gramEnd"/>
      <w:r>
        <w:t xml:space="preserve"> ЗАТО Большой Камень определяется Положением, </w:t>
      </w:r>
      <w:r>
        <w:lastRenderedPageBreak/>
        <w:t>утвержденным решением Думы ЗАТО г. Большой Камень от 29.03.2005 N 236-Р "Об утверждении Положения о порядке присвоения почтовых адресов и установки указателей с названиями улиц и номерами домов в городском округе ЗАТО Большой Камень.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Title"/>
        <w:ind w:firstLine="540"/>
        <w:jc w:val="both"/>
        <w:outlineLvl w:val="1"/>
      </w:pPr>
      <w:r>
        <w:t>Статья 1. Термины и определения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ind w:firstLine="540"/>
        <w:jc w:val="both"/>
      </w:pPr>
      <w:r>
        <w:t>В настоящем Положении используются следующие термины и определения: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 xml:space="preserve">заказчик - администрация городского округа или уполномоченная организация на работы по организации освещения городского </w:t>
      </w:r>
      <w:proofErr w:type="gramStart"/>
      <w:r>
        <w:t>округа</w:t>
      </w:r>
      <w:proofErr w:type="gramEnd"/>
      <w:r>
        <w:t xml:space="preserve"> ЗАТО Большой Камень;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контроль - деятельность уполномоченных органов за процессом достижения конечного результата;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нормативное освещение - освещение, соответствующее требованиям;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освещение - оборудование территории техническими средствами, создающими свет;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организация - планомерная последовательность действий по достижению результата;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обслуживающая организация - организация, осуществляющая деятельность по техническому обслуживанию и техническому ремонту;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пешеходная улица - градостроительный объект, обеспечивающий пешеходные связи между жилыми районами и промышленными зонами, общественными центрами, кварталами;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система освещения - совокупность технологически взаимосвязанных технических устройств, обеспечивающих освещение улиц;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указатель с адресом - табличка с названием улицы, номера дома.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Title"/>
        <w:ind w:firstLine="540"/>
        <w:jc w:val="both"/>
        <w:outlineLvl w:val="1"/>
      </w:pPr>
      <w:r>
        <w:t>Статья 2. Параметры освещенности улиц и объектов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ind w:firstLine="540"/>
        <w:jc w:val="both"/>
      </w:pPr>
      <w:bookmarkStart w:id="1" w:name="P56"/>
      <w:bookmarkEnd w:id="1"/>
      <w:r>
        <w:t>1. Освещению подлежат магистральные улицы, улицы в жилой застройке, пешеходные улицы и пешеходные дорожки между жилыми и промышленными районами, пешеходные дорожки скверов и парков, основные проезды микрорайонов и тротуары - подъезды внутри микрорайонов, хозяйственные площадки и площадки при мусоросборниках, детские площадки в местах расположения оборудования для подвижных игр.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2. Освещенность объектов, перечисленных в пункте 1 настоящего положения должна соответствовать нормативным требованиям. Снижение нормативной освещенности, кроме ночного времени, не допускается.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3. Освещение включается в летнее время (апрель - сентябрь) на период с 20 до 7 часов, в зимнее время (октябрь - март) с 18 часов до 8 часов.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 xml:space="preserve">4. В ночное время (с 24 часов до 6 часов) допускается снижение уровня освещения улиц и пешеходных путей путем выключения не более половины светильников, </w:t>
      </w:r>
      <w:proofErr w:type="gramStart"/>
      <w:r>
        <w:t>исключая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этом выключения двух подряд расположенных, или с помощью регулятора светового потока до уровня не ниже 50% номинального без отключения светильников.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lastRenderedPageBreak/>
        <w:t>5. На стенах зданий, ограждениях в местах установки указателей с наименованиями улиц и номерами домов, в том числе индивидуальных, устанавливаются светильники для освещения указателей. При этом светильники не должны засвечивать окна жилых зданий.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 xml:space="preserve">6. При проведении земляных и строительно-монтажных работ устанавливаются светильники в районе места производства земляных работ и по ограждению площадки для производства строительно-монтажных работ. При этом освещенность должна соответствовать </w:t>
      </w:r>
      <w:proofErr w:type="gramStart"/>
      <w:r>
        <w:t>нормативной</w:t>
      </w:r>
      <w:proofErr w:type="gramEnd"/>
      <w:r>
        <w:t>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7. Владельцы объектов имеют право устроить архитектурное, витринное и рекламное освещение своих объектов.</w:t>
      </w:r>
    </w:p>
    <w:p w:rsidR="00A07454" w:rsidRDefault="00A074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26.06.2012 N 53)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8. При проектировании строительства или реконструкции объектов владельцы объектов обязаны предусмотреть освещение у входа в здание, помещение.</w:t>
      </w:r>
    </w:p>
    <w:p w:rsidR="00A07454" w:rsidRDefault="00A074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26.06.2012 N 53)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 xml:space="preserve">9. Соблюдение параметров освещенности и нормативов по установке указателей с названиями улиц и номерами домов, кроме указанных в частях 1, 2 статьи 3 настоящего положения обеспечивается в </w:t>
      </w:r>
      <w:proofErr w:type="gramStart"/>
      <w:r>
        <w:t>пределах</w:t>
      </w:r>
      <w:proofErr w:type="gramEnd"/>
      <w:r>
        <w:t xml:space="preserve"> предусмотренных на эти цели средств в местном бюджете.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Title"/>
        <w:ind w:firstLine="540"/>
        <w:jc w:val="both"/>
        <w:outlineLvl w:val="1"/>
      </w:pPr>
      <w:r>
        <w:t>Статья 3. Организация и финансирование работ по освещению улиц и установке указателей с названиями улиц и номерами домов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ind w:firstLine="540"/>
        <w:jc w:val="both"/>
      </w:pPr>
      <w:bookmarkStart w:id="2" w:name="P70"/>
      <w:bookmarkEnd w:id="2"/>
      <w:r>
        <w:t>1. Освещение части улиц перед промышленными объектами, объектами обслуживания, магазинами, а также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A07454" w:rsidRDefault="00A07454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2. Установка указателей с наименованием улиц и номерами на индивидуальных жилых домах и их освещение осуществляется собственниками жилых домов за их счет.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 xml:space="preserve">3. В целях организации работ по освещению объектов, перечисленных в </w:t>
      </w:r>
      <w:hyperlink w:anchor="P56" w:history="1">
        <w:r>
          <w:rPr>
            <w:color w:val="0000FF"/>
          </w:rPr>
          <w:t>части 1 статьи 2</w:t>
        </w:r>
      </w:hyperlink>
      <w:r>
        <w:t xml:space="preserve"> настоящего положения и установки указателей с наименованием улиц и номерами домов, за исключением объектов перечисленных в части 2 настоящей статьи: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1) Дума городского округа утверждает расходы бюджета городского округа на указанные цели;</w:t>
      </w:r>
    </w:p>
    <w:p w:rsidR="00A07454" w:rsidRDefault="00A07454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26.06.2012 N 53)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2) администрация городского округа: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а) ежегодно утверждает перечень работ по техническому обслуживанию и текущему ремонту системы уличного освещения и установке указателей с названиями улиц и номерами домов;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б) определяет заказчика по организации освещения улиц и установки указателей с наименованиями улиц и номерами домов.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4. Заказчик: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1) разрабатывает перечень работ по техническому обслуживанию и текущему ремонту системы освещения улиц и указателей с наименованием улиц и номерами домов;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2) заключает договор с обслуживающей организацией;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3) контролирует качество работ по техническому обслуживанию системы освещения улиц и указателей с наименованием улиц и номерами жилых домов.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lastRenderedPageBreak/>
        <w:t>5. Обслуживающая организация выполняет работы в соответствии с заключенным договором.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 xml:space="preserve">6. Финансовое обеспечение организации освещения улиц и установке указателей с названиями улиц и номерами жилых домов, за исключением случаев, указанных </w:t>
      </w:r>
      <w:hyperlink w:anchor="P70" w:history="1">
        <w:r>
          <w:rPr>
            <w:color w:val="0000FF"/>
          </w:rPr>
          <w:t>частях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настоящей статьи, осуществляется за счет средств бюджета городского округа.</w:t>
      </w:r>
    </w:p>
    <w:p w:rsidR="00A07454" w:rsidRDefault="00A074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26.06.2012 N 53)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Title"/>
        <w:ind w:firstLine="540"/>
        <w:jc w:val="both"/>
        <w:outlineLvl w:val="1"/>
      </w:pPr>
      <w:r>
        <w:t xml:space="preserve">Статья 4. Порядок осуществления </w:t>
      </w:r>
      <w:proofErr w:type="gramStart"/>
      <w:r>
        <w:t>контроля за</w:t>
      </w:r>
      <w:proofErr w:type="gramEnd"/>
      <w:r>
        <w:t xml:space="preserve"> освещенностью улиц и наличием указателей с наименованием улиц и номерами домов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освещенностью улиц и наличием указателей с наименованием улиц и номерами домов осуществляет администрация городского округа.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2. График проведения плановых контрольных проверок утверждается распоряжением главы администрации городского округа.</w:t>
      </w:r>
    </w:p>
    <w:p w:rsidR="00A07454" w:rsidRDefault="00A07454">
      <w:pPr>
        <w:pStyle w:val="ConsPlusNormal"/>
        <w:spacing w:before="220"/>
        <w:ind w:firstLine="540"/>
        <w:jc w:val="both"/>
      </w:pPr>
      <w:r>
        <w:t>3. Внеплановые проверки проводятся при наличии жалоб, заявлений от населения города на некачественное освещение.</w:t>
      </w: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jc w:val="both"/>
      </w:pPr>
    </w:p>
    <w:p w:rsidR="00A07454" w:rsidRDefault="00A074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0B0" w:rsidRDefault="008C50B0">
      <w:bookmarkStart w:id="4" w:name="_GoBack"/>
      <w:bookmarkEnd w:id="4"/>
    </w:p>
    <w:sectPr w:rsidR="008C50B0" w:rsidSect="00D6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54"/>
    <w:rsid w:val="008C50B0"/>
    <w:rsid w:val="00A0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1DDC9394BB60C2860D2718C69DF7A610DB232FD4B92E99638694FB657B9CD198BC2E9E3A194C655BE416D29A3433FE22CB9AB0A181852DD7D82B3O4O9D" TargetMode="External"/><Relationship Id="rId13" Type="http://schemas.openxmlformats.org/officeDocument/2006/relationships/hyperlink" Target="consultantplus://offline/ref=48C1DDC9394BB60C2860D2718C69DF7A610DB232FD489CE8963F694FB657B9CD198BC2E9E3A194C655BC416E2AA3433FE22CB9AB0A181852DD7D82B3O4O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1DDC9394BB60C2860CC7C9A0581756506E937FF4F9FB6CE6B6F18E907BF984BCB9CB0A0E087C753A2436F2AOAOAD" TargetMode="External"/><Relationship Id="rId12" Type="http://schemas.openxmlformats.org/officeDocument/2006/relationships/hyperlink" Target="consultantplus://offline/ref=48C1DDC9394BB60C2860D2718C69DF7A610DB232FD489CE8963F694FB657B9CD198BC2E9E3A194C655BC416E28A3433FE22CB9AB0A181852DD7D82B3O4O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1DDC9394BB60C2860D2718C69DF7A610DB232FD489CE8963F694FB657B9CD198BC2E9E3A194C655BC416F2DA3433FE22CB9AB0A181852DD7D82B3O4O9D" TargetMode="External"/><Relationship Id="rId11" Type="http://schemas.openxmlformats.org/officeDocument/2006/relationships/hyperlink" Target="consultantplus://offline/ref=48C1DDC9394BB60C2860D2718C69DF7A610DB232FD489CE8963F694FB657B9CD198BC2E9E3A194C655BC416F20A3433FE22CB9AB0A181852DD7D82B3O4O9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C1DDC9394BB60C2860D2718C69DF7A610DB232FD489CE8963F694FB657B9CD198BC2E9E3A194C655BC416F2FA3433FE22CB9AB0A181852DD7D82B3O4O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1DDC9394BB60C2860D2718C69DF7A610DB232FD489CE8963F694FB657B9CD198BC2E9E3A194C655BC416F2DA3433FE22CB9AB0A181852DD7D82B3O4O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2022-06-05T03:14:00Z</dcterms:created>
  <dcterms:modified xsi:type="dcterms:W3CDTF">2022-06-05T03:14:00Z</dcterms:modified>
</cp:coreProperties>
</file>