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70" w:rsidRDefault="00863CFC">
      <w:pPr>
        <w:jc w:val="center"/>
        <w:rPr>
          <w:b/>
          <w:bCs/>
        </w:rPr>
      </w:pPr>
      <w:r>
        <w:rPr>
          <w:b/>
        </w:rPr>
        <w:t>ИТОГИ</w:t>
      </w:r>
    </w:p>
    <w:p w:rsidR="00067370" w:rsidRDefault="00863CFC">
      <w:pPr>
        <w:spacing w:before="160"/>
        <w:jc w:val="center"/>
      </w:pPr>
      <w:r>
        <w:rPr>
          <w:b/>
        </w:rPr>
        <w:t xml:space="preserve"> социально-экономического развития городского округа Большой Камень</w:t>
      </w:r>
    </w:p>
    <w:p w:rsidR="00067370" w:rsidRDefault="00863CFC">
      <w:pPr>
        <w:spacing w:before="160"/>
        <w:jc w:val="center"/>
      </w:pPr>
      <w:r>
        <w:rPr>
          <w:b/>
          <w:bCs/>
        </w:rPr>
        <w:t xml:space="preserve">Серебренникова Ольга Георгиевна </w:t>
      </w:r>
      <w:proofErr w:type="gramStart"/>
      <w:r>
        <w:rPr>
          <w:b/>
          <w:bCs/>
        </w:rPr>
        <w:t>–И</w:t>
      </w:r>
      <w:proofErr w:type="gramEnd"/>
      <w:r>
        <w:rPr>
          <w:b/>
          <w:bCs/>
        </w:rPr>
        <w:t>О главы городского округа Большой Камень</w:t>
      </w:r>
    </w:p>
    <w:p w:rsidR="00067370" w:rsidRDefault="00067370">
      <w:pPr>
        <w:rPr>
          <w:sz w:val="28"/>
          <w:szCs w:val="28"/>
        </w:rPr>
      </w:pPr>
    </w:p>
    <w:tbl>
      <w:tblPr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7"/>
        <w:gridCol w:w="1148"/>
        <w:gridCol w:w="1276"/>
        <w:gridCol w:w="1701"/>
      </w:tblGrid>
      <w:tr w:rsidR="00067370">
        <w:trPr>
          <w:cantSplit/>
          <w:trHeight w:val="862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067370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январь-март</w:t>
            </w:r>
          </w:p>
          <w:p w:rsidR="00067370" w:rsidRDefault="00863CFC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январь-</w:t>
            </w:r>
          </w:p>
          <w:p w:rsidR="00067370" w:rsidRDefault="00863CFC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март</w:t>
            </w:r>
          </w:p>
          <w:p w:rsidR="00067370" w:rsidRDefault="00863CFC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Динамика к аналогичному периоду прошлого года, %</w:t>
            </w:r>
          </w:p>
        </w:tc>
      </w:tr>
      <w:tr w:rsidR="00067370">
        <w:trPr>
          <w:trHeight w:val="196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Численность населения, тыс. чел. (на начало отчетного года)***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067370">
        <w:trPr>
          <w:trHeight w:val="100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Численность занятых в экономике, тыс. чел.*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067370">
        <w:trPr>
          <w:trHeight w:val="60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Площадь территории, кв. км***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67370">
        <w:trPr>
          <w:trHeight w:val="33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Оборот крупных и средних организаций, млн. руб. (темп в действующих ценах)***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</w:tr>
      <w:tr w:rsidR="00067370">
        <w:trPr>
          <w:trHeight w:val="128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Доля в обороте организаций края, %*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+0,03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</w:tr>
      <w:tr w:rsidR="00067370">
        <w:trPr>
          <w:trHeight w:val="741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863CFC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863C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863C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067370">
        <w:trPr>
          <w:trHeight w:val="17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+0,04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</w:tr>
      <w:tr w:rsidR="00067370">
        <w:trPr>
          <w:trHeight w:val="3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Строительство, млн. рублей (в сопоставимых ценах)***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067370">
        <w:trPr>
          <w:trHeight w:val="3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Производство продукции сельского хозяйства, млн. рублей***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70">
        <w:trPr>
          <w:trHeight w:val="3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Рыболовство, рыбоводство, млн. рублей***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067370">
        <w:trPr>
          <w:trHeight w:val="3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Лесозаготовки, млн. рублей***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70">
        <w:trPr>
          <w:trHeight w:val="281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 xml:space="preserve">Оборот розничной торговли, млн. рублей </w:t>
            </w:r>
          </w:p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(в сопоставимых ценах)***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173,9</w:t>
            </w:r>
          </w:p>
        </w:tc>
      </w:tr>
      <w:tr w:rsidR="00067370">
        <w:trPr>
          <w:trHeight w:val="246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 xml:space="preserve">Оборот общественного питания, млн. рублей </w:t>
            </w:r>
          </w:p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(в сопоставимых ценах)**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154,3</w:t>
            </w:r>
          </w:p>
        </w:tc>
      </w:tr>
      <w:tr w:rsidR="00067370">
        <w:trPr>
          <w:trHeight w:val="60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 xml:space="preserve">Объем платных услуг населению, млн. рублей </w:t>
            </w:r>
          </w:p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(в сопоставимых ценах)***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067370">
        <w:trPr>
          <w:trHeight w:val="160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Малый бизнес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7370">
        <w:trPr>
          <w:trHeight w:val="394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Малый бизнес, оборот малых предприятий (без учета ИП), млн. рублей (темп роста в действующих ценах)*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067370">
        <w:trPr>
          <w:trHeight w:val="394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Доля малых предприятий (без учета ИП) в числе хозяйствующих субъектов, %*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-1,9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</w:tr>
      <w:tr w:rsidR="00067370">
        <w:trPr>
          <w:trHeight w:val="106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Количество малых предприятий (без учета ИП), ед.*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</w:tr>
      <w:tr w:rsidR="00067370">
        <w:trPr>
          <w:trHeight w:val="100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Число индивидуальных предпринимателей (ИП), чел.***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067370">
        <w:trPr>
          <w:trHeight w:val="274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Численность занятых в малом бизнесе (без учета ИП), тыс. чел.*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067370">
        <w:trPr>
          <w:trHeight w:val="394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 xml:space="preserve">Доля </w:t>
            </w:r>
            <w:proofErr w:type="gramStart"/>
            <w:r>
              <w:rPr>
                <w:bCs/>
                <w:sz w:val="20"/>
                <w:szCs w:val="20"/>
              </w:rPr>
              <w:t>занятых</w:t>
            </w:r>
            <w:proofErr w:type="gramEnd"/>
            <w:r>
              <w:rPr>
                <w:bCs/>
                <w:sz w:val="20"/>
                <w:szCs w:val="20"/>
              </w:rPr>
              <w:t xml:space="preserve"> в малом бизнесе (без учета ИП) </w:t>
            </w:r>
          </w:p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 xml:space="preserve">в общей численности </w:t>
            </w:r>
            <w:proofErr w:type="gramStart"/>
            <w:r>
              <w:rPr>
                <w:bCs/>
                <w:sz w:val="20"/>
                <w:szCs w:val="20"/>
              </w:rPr>
              <w:t>занятых</w:t>
            </w:r>
            <w:proofErr w:type="gramEnd"/>
            <w:r>
              <w:rPr>
                <w:bCs/>
                <w:sz w:val="20"/>
                <w:szCs w:val="20"/>
              </w:rPr>
              <w:t xml:space="preserve"> в экономике, %*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+0,6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</w:tr>
      <w:tr w:rsidR="00067370">
        <w:trPr>
          <w:trHeight w:val="152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/>
                <w:color w:val="000000"/>
                <w:sz w:val="20"/>
                <w:szCs w:val="20"/>
              </w:rPr>
              <w:t>Социальные индикаторы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7370">
        <w:trPr>
          <w:trHeight w:val="394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</w:pPr>
            <w:r>
              <w:rPr>
                <w:bCs/>
                <w:sz w:val="20"/>
                <w:szCs w:val="20"/>
              </w:rPr>
              <w:t>Среднемесячная заработная плата по крупным и средним организациям, рублей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***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116 461,8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</w:tr>
      <w:tr w:rsidR="00067370">
        <w:trPr>
          <w:trHeight w:val="122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Просроченная задолженность по заработной плате, млн. рублей***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7370">
        <w:trPr>
          <w:trHeight w:val="60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Инвестиционное развитие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7370">
        <w:trPr>
          <w:trHeight w:val="286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 xml:space="preserve">Объем инвестиций в основной капитал, млн. рублей </w:t>
            </w:r>
            <w:r>
              <w:rPr>
                <w:bCs/>
                <w:sz w:val="20"/>
                <w:szCs w:val="20"/>
              </w:rPr>
              <w:t>(январь-декабрь)</w:t>
            </w:r>
            <w:r>
              <w:rPr>
                <w:bCs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7370">
        <w:trPr>
          <w:trHeight w:val="131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shd w:val="clear" w:color="FFFFFF" w:themeColor="background1" w:fill="FFFFFF" w:themeFill="background1"/>
              <w:jc w:val="both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Введено жилья, тыс. кв. м***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shd w:val="clear" w:color="FFFFFF" w:themeColor="background1" w:fill="FFFFFF" w:themeFill="background1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3,269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3,318*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067370">
        <w:trPr>
          <w:trHeight w:val="190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color w:val="000000"/>
                <w:sz w:val="20"/>
                <w:szCs w:val="20"/>
              </w:rPr>
              <w:t>Обеспеченность жильем на душу населения, кв. м*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067370">
        <w:trPr>
          <w:trHeight w:val="125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67370" w:rsidRDefault="00863CFC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Занятость населения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67370" w:rsidRDefault="0006737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67370" w:rsidRDefault="0006737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67370">
        <w:trPr>
          <w:trHeight w:val="33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Уровень зарегистрированной безработицы к экономически активному населению, %*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+0,2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</w:tr>
      <w:tr w:rsidR="00067370">
        <w:trPr>
          <w:trHeight w:val="76"/>
        </w:trPr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widowControl w:val="0"/>
              <w:jc w:val="both"/>
            </w:pPr>
            <w:r>
              <w:rPr>
                <w:bCs/>
                <w:sz w:val="20"/>
                <w:szCs w:val="20"/>
              </w:rPr>
              <w:t>Нагрузка незанятого населения на 100 заявленных вакансий, человек***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370" w:rsidRDefault="0086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370" w:rsidRDefault="00414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</w:tr>
    </w:tbl>
    <w:p w:rsidR="00067370" w:rsidRDefault="00863CFC">
      <w:pPr>
        <w:widowControl w:val="0"/>
        <w:ind w:left="142"/>
        <w:jc w:val="both"/>
      </w:pPr>
      <w:r>
        <w:rPr>
          <w:sz w:val="20"/>
          <w:szCs w:val="20"/>
        </w:rPr>
        <w:t>* оценка</w:t>
      </w:r>
    </w:p>
    <w:p w:rsidR="00067370" w:rsidRDefault="00863CFC">
      <w:pPr>
        <w:ind w:left="142"/>
        <w:jc w:val="both"/>
      </w:pPr>
      <w:proofErr w:type="gramStart"/>
      <w:r>
        <w:rPr>
          <w:sz w:val="20"/>
          <w:szCs w:val="20"/>
        </w:rPr>
        <w:t xml:space="preserve">** </w:t>
      </w:r>
      <w:proofErr w:type="spellStart"/>
      <w:r>
        <w:rPr>
          <w:sz w:val="20"/>
          <w:szCs w:val="20"/>
        </w:rPr>
        <w:t>Приморскстатом</w:t>
      </w:r>
      <w:proofErr w:type="spellEnd"/>
      <w:r>
        <w:rPr>
          <w:sz w:val="20"/>
          <w:szCs w:val="20"/>
        </w:rPr>
        <w:t xml:space="preserve"> данные не размещаются в целях 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</w:t>
      </w:r>
      <w:proofErr w:type="gramEnd"/>
      <w:r>
        <w:rPr>
          <w:sz w:val="20"/>
          <w:szCs w:val="20"/>
        </w:rPr>
        <w:t xml:space="preserve"> П.1).</w:t>
      </w:r>
    </w:p>
    <w:p w:rsidR="00067370" w:rsidRDefault="00863CFC">
      <w:pPr>
        <w:ind w:left="142"/>
        <w:jc w:val="both"/>
      </w:pPr>
      <w:r>
        <w:rPr>
          <w:sz w:val="20"/>
          <w:szCs w:val="20"/>
        </w:rPr>
        <w:t xml:space="preserve">*** по данным </w:t>
      </w:r>
      <w:proofErr w:type="spellStart"/>
      <w:r>
        <w:rPr>
          <w:sz w:val="20"/>
          <w:szCs w:val="20"/>
        </w:rPr>
        <w:t>Приморскстата</w:t>
      </w:r>
      <w:proofErr w:type="spellEnd"/>
      <w:r>
        <w:br w:type="page" w:clear="all"/>
      </w:r>
    </w:p>
    <w:p w:rsidR="00067370" w:rsidRDefault="00863CFC">
      <w:pPr>
        <w:ind w:firstLine="567"/>
        <w:jc w:val="both"/>
      </w:pPr>
      <w:r>
        <w:rPr>
          <w:b/>
        </w:rPr>
        <w:lastRenderedPageBreak/>
        <w:t>Численность населения</w:t>
      </w:r>
      <w:r>
        <w:t xml:space="preserve"> на 01.01.2024 г. составляет 42 502 чел. (100,5% к январю - декабрю 2023 года)</w:t>
      </w:r>
      <w:r>
        <w:rPr>
          <w:lang w:eastAsia="ru-RU"/>
        </w:rPr>
        <w:t>. К увеличению привел миграционный приток (на 0,501 тыс. чел. к январю-декабрю 2023 г.)</w:t>
      </w:r>
      <w:r>
        <w:t>. Расчетная численность на 01.04.2024 года составляет 42 420 человек, наблюдается снижение за счет естественной убыли и увеличения миграционного оттока.</w:t>
      </w:r>
    </w:p>
    <w:p w:rsidR="00067370" w:rsidRDefault="00863CFC">
      <w:pPr>
        <w:ind w:firstLine="567"/>
        <w:jc w:val="both"/>
      </w:pPr>
      <w:r>
        <w:rPr>
          <w:b/>
        </w:rPr>
        <w:t>Объем отгруженных товаров по чистым видам деятельности</w:t>
      </w:r>
      <w:r>
        <w:t xml:space="preserve"> 3 668,7 млн. руб. (112,5% к январю - марту 2023 года) – увеличение происходит на предприятиях обрабатывающего сектора экономики на 80%. В целом объем отгруженного товара собственного производства увеличился и составил 3 668,7 млн. руб. (112,5% к январю-марту 2023 года). </w:t>
      </w:r>
      <w:proofErr w:type="gramStart"/>
      <w:r>
        <w:t>Увеличение помимо чистых видов деятельности наблюдается в секторах: транспортировка и хранение – 57,4% к январю-марту 2023 года, деятельность гостиниц и предприятий общественного питания – 11,7% к январю-марту 2023 года, деятельность по операциям с недвижимым имуществом – в 7,4 раза к январю-марту 2023 года, образования – 10,1% к январю-марту 2023 года, деятельности в области информатизации и связи – 31,4% к январю-марту 2023 года.</w:t>
      </w:r>
      <w:proofErr w:type="gramEnd"/>
    </w:p>
    <w:p w:rsidR="00067370" w:rsidRDefault="00863CFC">
      <w:pPr>
        <w:ind w:firstLine="567"/>
        <w:jc w:val="both"/>
      </w:pPr>
      <w:r>
        <w:rPr>
          <w:b/>
        </w:rPr>
        <w:t>Оборот розничной торговли</w:t>
      </w:r>
      <w:r>
        <w:t xml:space="preserve"> за отчетный период 620,7 млн. руб </w:t>
      </w:r>
      <w:r>
        <w:rPr>
          <w:lang w:eastAsia="ru-RU"/>
        </w:rPr>
        <w:t>(173,9% в действующих ценах к январю-марту 2023 года) рост происходит за счет розничной торговли, кроме торговли автотранспортными средствам и мотоциклами</w:t>
      </w:r>
    </w:p>
    <w:p w:rsidR="00067370" w:rsidRDefault="00863CFC">
      <w:pPr>
        <w:ind w:firstLine="567"/>
        <w:jc w:val="both"/>
      </w:pPr>
      <w:r>
        <w:t xml:space="preserve">Отмечается увеличение </w:t>
      </w:r>
      <w:r>
        <w:rPr>
          <w:b/>
        </w:rPr>
        <w:t>числа малых предприятий</w:t>
      </w:r>
      <w:r>
        <w:t xml:space="preserve"> до 464 ед. (105,2% к январю – марту 2023 года). Прослеживается положительная динамика в количестве индивидуальных предпринимателей до 917 ед. (107,9%). </w:t>
      </w:r>
    </w:p>
    <w:p w:rsidR="00067370" w:rsidRDefault="00863CFC">
      <w:pPr>
        <w:ind w:firstLine="567"/>
        <w:jc w:val="both"/>
      </w:pPr>
      <w:r>
        <w:rPr>
          <w:rFonts w:eastAsia="Calibri"/>
          <w:b/>
        </w:rPr>
        <w:t xml:space="preserve">Среднемесячная заработная плата </w:t>
      </w:r>
      <w:r>
        <w:rPr>
          <w:rFonts w:eastAsia="Calibri"/>
        </w:rPr>
        <w:t>ра</w:t>
      </w:r>
      <w:r>
        <w:rPr>
          <w:rFonts w:eastAsia="Calibri"/>
          <w:bCs/>
        </w:rPr>
        <w:t xml:space="preserve">ботников крупных и средних организаций </w:t>
      </w:r>
      <w:r>
        <w:rPr>
          <w:rFonts w:eastAsia="Calibri"/>
        </w:rPr>
        <w:t>составила 116 461,8 рублей (131,8% к уровню января – марта 2023 года)</w:t>
      </w:r>
      <w:r>
        <w:t xml:space="preserve">. </w:t>
      </w:r>
      <w:proofErr w:type="gramStart"/>
      <w:r>
        <w:t>Значительный р</w:t>
      </w:r>
      <w:r>
        <w:rPr>
          <w:lang w:eastAsia="ru-RU"/>
        </w:rPr>
        <w:t>ост среднемесячной заработной платы происходит в отраслях обрабатывающего производства на 30,1%, в секторе обеспечения электрической энергией, газом и паром – 44,4%, торговой и оптовой деятельности  на 32,9%, деятельности гостиниц и предприятий общественного питания - 52,8%, деятельности по операциям с недвижимым имуществом  на 74,9%, профессиональная деятельность, научная и техническая на 50,8%, деятельности в области образования - 30,2%, деятельность в области здравоохранения на 31,1</w:t>
      </w:r>
      <w:proofErr w:type="gramEnd"/>
      <w:r>
        <w:rPr>
          <w:lang w:eastAsia="ru-RU"/>
        </w:rPr>
        <w:t xml:space="preserve">%. Снижение уровня заработной платы наблюдается в секторе обрабатывающего производства: производство бумаги и бумажных изделий на 5%, металлургического производства - 19,3%, в секторе организации сбора и  утилизации отходов - 19,3%, секторе строительства: работы строительные специализированные - 3,3%. </w:t>
      </w:r>
    </w:p>
    <w:p w:rsidR="00067370" w:rsidRDefault="00863CFC">
      <w:pPr>
        <w:ind w:firstLine="709"/>
        <w:jc w:val="both"/>
        <w:rPr>
          <w:highlight w:val="white"/>
        </w:rPr>
      </w:pPr>
      <w:r>
        <w:t xml:space="preserve">За отчетный период </w:t>
      </w:r>
      <w:r>
        <w:rPr>
          <w:b/>
        </w:rPr>
        <w:t>введено 3 318,2 кв. м общей площади жилых помещений</w:t>
      </w:r>
      <w:r>
        <w:t xml:space="preserve"> (в январе – марте 2023 года 3 269 кв. м) увеличение на 1,5%. </w:t>
      </w:r>
      <w:r>
        <w:rPr>
          <w:highlight w:val="white"/>
          <w:lang w:eastAsia="ru-RU"/>
        </w:rPr>
        <w:t>В отчетный период введен один многоквартирный дом по ул. Академика Курчатова 21А, общее количество квартир 81.</w:t>
      </w:r>
    </w:p>
    <w:p w:rsidR="00067370" w:rsidRDefault="00863CFC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Объем инвестиций в основной капитал</w:t>
      </w:r>
      <w:r>
        <w:rPr>
          <w:lang w:eastAsia="ru-RU"/>
        </w:rPr>
        <w:t xml:space="preserve"> Вложения в и</w:t>
      </w:r>
      <w:r w:rsidR="000B71EC">
        <w:rPr>
          <w:lang w:eastAsia="ru-RU"/>
        </w:rPr>
        <w:t xml:space="preserve">нвестиции в нефинансовые активы </w:t>
      </w:r>
      <w:r>
        <w:rPr>
          <w:lang w:eastAsia="ru-RU"/>
        </w:rPr>
        <w:t>о</w:t>
      </w:r>
      <w:r w:rsidR="000B71EC">
        <w:rPr>
          <w:lang w:eastAsia="ru-RU"/>
        </w:rPr>
        <w:t>существляют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организаци</w:t>
      </w:r>
      <w:r w:rsidR="000B71EC">
        <w:rPr>
          <w:lang w:eastAsia="ru-RU"/>
        </w:rPr>
        <w:t>и</w:t>
      </w:r>
      <w:proofErr w:type="gramEnd"/>
      <w:r w:rsidR="000B71EC">
        <w:rPr>
          <w:lang w:eastAsia="ru-RU"/>
        </w:rPr>
        <w:t xml:space="preserve"> зарегистрированные на территории городского округа Большой Камень</w:t>
      </w:r>
      <w:r>
        <w:rPr>
          <w:lang w:eastAsia="ru-RU"/>
        </w:rPr>
        <w:t>, в том числе</w:t>
      </w:r>
      <w:r>
        <w:t xml:space="preserve"> </w:t>
      </w:r>
      <w:r>
        <w:rPr>
          <w:lang w:eastAsia="ru-RU"/>
        </w:rPr>
        <w:t>предприятия судостроительной отрасли и резидент</w:t>
      </w:r>
      <w:r w:rsidR="000B71EC">
        <w:rPr>
          <w:lang w:eastAsia="ru-RU"/>
        </w:rPr>
        <w:t>ы</w:t>
      </w:r>
      <w:r>
        <w:rPr>
          <w:lang w:eastAsia="ru-RU"/>
        </w:rPr>
        <w:t xml:space="preserve"> ТОР «Большой Камень».</w:t>
      </w:r>
    </w:p>
    <w:p w:rsidR="00067370" w:rsidRDefault="00863CFC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Уровень зарегистрированной безработицы</w:t>
      </w:r>
      <w:r>
        <w:rPr>
          <w:lang w:eastAsia="ru-RU"/>
        </w:rPr>
        <w:t xml:space="preserve"> на конец марта 2024 – 0,4% (</w:t>
      </w:r>
      <w:proofErr w:type="gramStart"/>
      <w:r>
        <w:rPr>
          <w:lang w:eastAsia="ru-RU"/>
        </w:rPr>
        <w:t>на конец</w:t>
      </w:r>
      <w:proofErr w:type="gramEnd"/>
      <w:r>
        <w:rPr>
          <w:lang w:eastAsia="ru-RU"/>
        </w:rPr>
        <w:t xml:space="preserve"> март 2023 – 0,6), наблюдается снижение числа безработных. </w:t>
      </w:r>
    </w:p>
    <w:p w:rsidR="00067370" w:rsidRDefault="00863CFC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Нагрузка незанятого населения на 100 заявленных </w:t>
      </w:r>
      <w:r w:rsidR="00414171">
        <w:rPr>
          <w:lang w:eastAsia="ru-RU"/>
        </w:rPr>
        <w:t>вакансий на март 2024</w:t>
      </w:r>
      <w:r>
        <w:rPr>
          <w:lang w:eastAsia="ru-RU"/>
        </w:rPr>
        <w:t xml:space="preserve"> – </w:t>
      </w:r>
      <w:r w:rsidR="00414171">
        <w:rPr>
          <w:lang w:eastAsia="ru-RU"/>
        </w:rPr>
        <w:t>8,4</w:t>
      </w:r>
      <w:r>
        <w:rPr>
          <w:lang w:eastAsia="ru-RU"/>
        </w:rPr>
        <w:t xml:space="preserve"> человек (на март 2023 – </w:t>
      </w:r>
      <w:r w:rsidR="00414171">
        <w:rPr>
          <w:lang w:eastAsia="ru-RU"/>
        </w:rPr>
        <w:t>18</w:t>
      </w:r>
      <w:r>
        <w:rPr>
          <w:lang w:eastAsia="ru-RU"/>
        </w:rPr>
        <w:t xml:space="preserve"> человек).</w:t>
      </w:r>
    </w:p>
    <w:p w:rsidR="00067370" w:rsidRDefault="00863CFC">
      <w:pPr>
        <w:ind w:firstLine="708"/>
        <w:jc w:val="both"/>
      </w:pPr>
      <w:r>
        <w:t xml:space="preserve">Снижение уровня безработицы и </w:t>
      </w:r>
      <w:r w:rsidR="00A843B5">
        <w:t>снижение нагрузки незанятого</w:t>
      </w:r>
      <w:r>
        <w:t xml:space="preserve"> </w:t>
      </w:r>
      <w:r w:rsidR="00A843B5">
        <w:t xml:space="preserve">населения на 100 заявленных </w:t>
      </w:r>
      <w:r>
        <w:t>вакансий указывает на положительную динамику</w:t>
      </w:r>
      <w:r w:rsidR="00A843B5">
        <w:t xml:space="preserve"> в экономике городского округа и на ситуацию на рынке труда в целом. Это связано с различными факторами, такими как экономический рост, создание новых рабочих мест, развитие образования и профессиональной подготовки.</w:t>
      </w:r>
    </w:p>
    <w:p w:rsidR="00067370" w:rsidRDefault="00067370">
      <w:pPr>
        <w:ind w:firstLine="708"/>
        <w:jc w:val="both"/>
        <w:rPr>
          <w:b/>
          <w:color w:val="000000"/>
          <w:sz w:val="28"/>
          <w:szCs w:val="28"/>
        </w:rPr>
      </w:pPr>
    </w:p>
    <w:p w:rsidR="00067370" w:rsidRDefault="00863C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 w:clear="all"/>
      </w:r>
    </w:p>
    <w:p w:rsidR="00067370" w:rsidRDefault="00863CFC">
      <w:pPr>
        <w:spacing w:line="276" w:lineRule="auto"/>
        <w:ind w:firstLine="708"/>
      </w:pPr>
      <w:r>
        <w:rPr>
          <w:b/>
          <w:sz w:val="28"/>
          <w:szCs w:val="28"/>
        </w:rPr>
        <w:lastRenderedPageBreak/>
        <w:t>1. Краткая характеристика экономики городского округа Большой Камень</w:t>
      </w:r>
    </w:p>
    <w:p w:rsidR="00067370" w:rsidRDefault="0006737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67370" w:rsidRDefault="00863CFC">
      <w:pPr>
        <w:numPr>
          <w:ilvl w:val="1"/>
          <w:numId w:val="2"/>
        </w:numPr>
        <w:spacing w:line="276" w:lineRule="auto"/>
        <w:contextualSpacing/>
        <w:jc w:val="both"/>
      </w:pPr>
      <w:r>
        <w:rPr>
          <w:b/>
          <w:sz w:val="28"/>
          <w:szCs w:val="28"/>
        </w:rPr>
        <w:t xml:space="preserve"> Основные отрасли экономики городского округа </w:t>
      </w:r>
    </w:p>
    <w:p w:rsidR="00067370" w:rsidRDefault="00863CFC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 xml:space="preserve">Основными отраслями  экономики городского округа Большой Камень являются судостроение, судоремонт и рыболовство. </w:t>
      </w:r>
    </w:p>
    <w:p w:rsidR="00067370" w:rsidRDefault="00863CFC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Организации, зарегистрированные по данным видам экономической деятельности (по ОКВЭД):</w:t>
      </w:r>
    </w:p>
    <w:p w:rsidR="00067370" w:rsidRDefault="00863CFC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- АО «ДВЗ «Звезда», 33.15 Ремонт и техническое обслуживание судов и лодок;</w:t>
      </w:r>
    </w:p>
    <w:p w:rsidR="00067370" w:rsidRDefault="00863CFC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- ООО «ССК «Звезда», 30.11 Строительство кораблей, судов и плавучих конструкций;</w:t>
      </w:r>
    </w:p>
    <w:p w:rsidR="00067370" w:rsidRDefault="00863CFC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- ООО «РК «Новый мир», 03.11 Рыболовство морское.</w:t>
      </w:r>
    </w:p>
    <w:p w:rsidR="00067370" w:rsidRDefault="00863CFC">
      <w:pPr>
        <w:pStyle w:val="28"/>
        <w:spacing w:after="0" w:line="276" w:lineRule="auto"/>
        <w:ind w:right="-1" w:firstLine="709"/>
        <w:jc w:val="both"/>
        <w:rPr>
          <w:color w:val="000000" w:themeColor="text1"/>
          <w:highlight w:val="white"/>
        </w:rPr>
      </w:pPr>
      <w:r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  <w:highlight w:val="white"/>
        </w:rPr>
        <w:t xml:space="preserve">.2. Бюджет городского округа </w:t>
      </w:r>
    </w:p>
    <w:p w:rsidR="00067370" w:rsidRDefault="00863CFC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  <w:highlight w:val="white"/>
        </w:rPr>
      </w:pPr>
      <w:proofErr w:type="gramStart"/>
      <w:r>
        <w:rPr>
          <w:color w:val="000000" w:themeColor="text1"/>
          <w:sz w:val="28"/>
          <w:szCs w:val="28"/>
          <w:highlight w:val="white"/>
        </w:rPr>
        <w:t xml:space="preserve">Бюджет городского округа за 1 квартал 2024 года исполнен в сумме 783, 28 млн. руб. (25,32% от уточненного плана по доходам от плановых </w:t>
      </w:r>
      <w:r>
        <w:rPr>
          <w:color w:val="000000" w:themeColor="text1"/>
          <w:sz w:val="28"/>
          <w:szCs w:val="28"/>
          <w:highlight w:val="white"/>
        </w:rPr>
        <w:br/>
        <w:t>3 094,08 млн. руб.), из них:</w:t>
      </w:r>
      <w:proofErr w:type="gramEnd"/>
    </w:p>
    <w:p w:rsidR="00067370" w:rsidRDefault="00863CFC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>1) налоговые и неналоговые доходы при плане 570,34 млн. руб. исполнены в сумме 158,84 млн. руб. или на 27,85 %;</w:t>
      </w:r>
    </w:p>
    <w:p w:rsidR="00067370" w:rsidRDefault="00863CFC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безвозмездные поступления с учетом осуществленных возвратов остатков неиспользованных субсидий, субвенций и иных межбюджетных трансфертов прошлых лет при плане 2 523,74 млн. руб. исполнены в сумме 624,44 млн. руб. или на 24,74 %.</w:t>
      </w:r>
    </w:p>
    <w:p w:rsidR="00067370" w:rsidRDefault="00863CFC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Увеличение доходов бюджета городского округа за  1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spellEnd"/>
      <w:r>
        <w:rPr>
          <w:color w:val="000000" w:themeColor="text1"/>
          <w:sz w:val="28"/>
          <w:szCs w:val="28"/>
        </w:rPr>
        <w:t xml:space="preserve"> 2024 года по отношению к соответствующему периоду 2023 года составило 151,95 млн. руб. (124,07 % к январю-марту 2023).</w:t>
      </w:r>
    </w:p>
    <w:p w:rsidR="00067370" w:rsidRDefault="00863CFC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Увеличение налоговых доходов относительно соответствующего периода 2023 года составило 34,03 млн. руб., что обусловлено увеличением поступлений по налогу на доходы физических лиц. </w:t>
      </w:r>
    </w:p>
    <w:p w:rsidR="00067370" w:rsidRDefault="00863CFC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Неналоговые доходы за 2024 год уменьшены на 1,1 млн. руб. (на 3,5% к уровню 2023 года). Основной объем неналоговых доходов поступает от продажи материальных и нематериальных активов, от платных услуг и компенсации затрат государству. </w:t>
      </w:r>
    </w:p>
    <w:p w:rsidR="00067370" w:rsidRDefault="00863CFC">
      <w:pPr>
        <w:spacing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 безвозмездных поступлений относительно соответствующего периода 2023 года составило 119,01 млн. руб. (123,55%). Основную долю среди поступлений данной группы составляют дотации бюджету городского округа.</w:t>
      </w:r>
    </w:p>
    <w:p w:rsidR="00067370" w:rsidRDefault="00863CFC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067370" w:rsidRDefault="00863CFC">
      <w:pPr>
        <w:pStyle w:val="28"/>
        <w:numPr>
          <w:ilvl w:val="1"/>
          <w:numId w:val="2"/>
        </w:numPr>
        <w:spacing w:after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Характеристика ситуации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Развитие экономики и социальной сферы за 1 квартал 2024 года  имеет как позитивные, так и негативные тенденции. 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Расчетная численность постоянного населения 42 420 человек (100,3% к январю-марту 2023) – рост показателя произошел за счёт снижения миграционного оттока, в то время как рост естественной убыли вырос на 20 человек.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Численность занятых в экономике (101,1% к январю-марту 2023) – </w:t>
      </w:r>
      <w:proofErr w:type="spellStart"/>
      <w:r>
        <w:rPr>
          <w:sz w:val="28"/>
          <w:szCs w:val="28"/>
          <w:lang w:eastAsia="ru-RU"/>
        </w:rPr>
        <w:t>раст</w:t>
      </w:r>
      <w:proofErr w:type="spellEnd"/>
      <w:r>
        <w:rPr>
          <w:sz w:val="28"/>
          <w:szCs w:val="28"/>
          <w:lang w:eastAsia="ru-RU"/>
        </w:rPr>
        <w:t xml:space="preserve"> за счет снижения количества неработающих граждан в трудоспособном возрасте, а также увеличением количества «</w:t>
      </w:r>
      <w:proofErr w:type="spellStart"/>
      <w:r>
        <w:rPr>
          <w:sz w:val="28"/>
          <w:szCs w:val="28"/>
          <w:lang w:eastAsia="ru-RU"/>
        </w:rPr>
        <w:t>самозанятых</w:t>
      </w:r>
      <w:proofErr w:type="spellEnd"/>
      <w:r>
        <w:rPr>
          <w:sz w:val="28"/>
          <w:szCs w:val="28"/>
          <w:lang w:eastAsia="ru-RU"/>
        </w:rPr>
        <w:t>».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Оборот крупных и средних организаций (117,6 % к январю-марту 2023) – рост к соответствующему периоду 2023 г. происходит в обрабатывающей отрасли в 3,7 раза, в деятельности торговой оптовой и розничной на 71,9% информационной отрасли на 23,5%, . </w:t>
      </w:r>
    </w:p>
    <w:p w:rsidR="00067370" w:rsidRDefault="00863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чистым видам деятельности </w:t>
      </w:r>
      <w:r>
        <w:rPr>
          <w:sz w:val="28"/>
          <w:szCs w:val="28"/>
          <w:lang w:eastAsia="ru-RU"/>
        </w:rPr>
        <w:t>по организациям, не относящимся к субъектам малого предпринимательства (112,4</w:t>
      </w:r>
      <w:r>
        <w:rPr>
          <w:sz w:val="28"/>
          <w:szCs w:val="28"/>
        </w:rPr>
        <w:t xml:space="preserve"> % к январю-марту 2023). Рост происходит на предприятиях обрабатывающего сектора экономики на 80%. 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Экономическая автономия внесла коррективы в производственные процессы критически важных отраслей, что привело к снижению объемов отгруженных товаров и выполненных работ, услуг резидентов ТОР «Большой Камень», основными из которых являются ООО «ССК «Звезда» и АО «ДВЗ «Звезда»</w:t>
      </w:r>
      <w:r>
        <w:rPr>
          <w:sz w:val="28"/>
          <w:szCs w:val="28"/>
          <w:lang w:eastAsia="ru-RU"/>
        </w:rPr>
        <w:t>.</w:t>
      </w:r>
    </w:p>
    <w:p w:rsidR="00067370" w:rsidRDefault="00863C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(42,2% к январю-марту 2023). Отрицательная динамика наблюдается в секторе строительства инженерных сооружений (62,8% к январю-марту 2023 года) обусловлена производственным графиком работ и капитальными вложениями в соответствующий период, строительство зданий (40,6% к январю-марту 2023 года) обусловлена корректировкой графиков строительства. 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Оборот розничной торговли (увеличение на 71,9% в действующих ценах к январю-марту 2023 года) рост происходит за счет розничной торговли, кроме торговли автотранспортными средствам и мотоциклами. 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Оборот общественного питания (154,3% к январю-марту 2023 года)  рост наблюдается в деятельности по предоставлению продуктов питания и напитков и деятельности по предоставлению мест для временного проживания.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Оборот платных услуг населению (102,2% к январю-марту 2023 года) увеличение показателя наблюдается в предоставлении транспортных услуг (на 31,7% к январю-марту 2023 года), в предоставлении услуг специализированных коллективных средств размещения (в 4,9 раза к январю-</w:t>
      </w:r>
      <w:r>
        <w:rPr>
          <w:sz w:val="28"/>
          <w:szCs w:val="28"/>
          <w:lang w:eastAsia="ru-RU"/>
        </w:rPr>
        <w:lastRenderedPageBreak/>
        <w:t>марту 2023 года), коммунальных услуг (на 2,2% к январю-марту 2023 года), услуг системы образования (3,9% к январю-марту 2023 года), во всех остальных сферах наблюдается спад объема платных</w:t>
      </w:r>
      <w:proofErr w:type="gramEnd"/>
      <w:r>
        <w:rPr>
          <w:sz w:val="28"/>
          <w:szCs w:val="28"/>
          <w:lang w:eastAsia="ru-RU"/>
        </w:rPr>
        <w:t xml:space="preserve"> услуг.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Показатели количества малых предприятий (105,2% к январю-марту 2023) скорректированы в соответствии со статистическим справочником организаций 2023-2024 годы и индивидуальных предпринимателей (107,9% к январю-марту 2023) увеличивается. </w:t>
      </w:r>
      <w:r>
        <w:rPr>
          <w:rStyle w:val="extendedtext-full"/>
          <w:sz w:val="28"/>
          <w:szCs w:val="28"/>
        </w:rPr>
        <w:t xml:space="preserve">Росту малых предприятий способствует </w:t>
      </w:r>
      <w:r>
        <w:rPr>
          <w:sz w:val="28"/>
          <w:szCs w:val="28"/>
          <w:lang w:eastAsia="ru-RU"/>
        </w:rPr>
        <w:t>государственная поддержка (финансовая, имущественная, информационная, консультационная). Принимаемые меры правительством и местным самоуправлением для поддержки малого бизнеса, такие как налоговые льготы, субсидии, гранты и прочее. Продолжает развиваться инфраструктура в городе, увеличивается объем нежилых помещений, предназначенных для торговли и оказания услуг. Развивается экономическая привлекательность городского округа Большой Камень.</w:t>
      </w:r>
    </w:p>
    <w:p w:rsidR="00067370" w:rsidRDefault="00863CFC">
      <w:pPr>
        <w:tabs>
          <w:tab w:val="left" w:pos="708"/>
          <w:tab w:val="center" w:pos="4153"/>
          <w:tab w:val="right" w:pos="8306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Численность занятых в малом бизнесе (без учета индивидуальных предпринимателей) (103,6% к январю-марту 2023) – рост происходит на основании увеличения предприятий малого бизнеса.</w:t>
      </w:r>
    </w:p>
    <w:p w:rsidR="00067370" w:rsidRDefault="00863CFC">
      <w:pPr>
        <w:spacing w:line="276" w:lineRule="auto"/>
        <w:ind w:firstLine="709"/>
        <w:jc w:val="both"/>
      </w:pPr>
      <w:proofErr w:type="gramStart"/>
      <w:r>
        <w:rPr>
          <w:bCs/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номинальная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начисленная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заработная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работающих (без субъектов малого предпринимательства)</w:t>
      </w:r>
      <w:r>
        <w:rPr>
          <w:sz w:val="28"/>
          <w:szCs w:val="28"/>
        </w:rPr>
        <w:t xml:space="preserve"> (116 461,8 руб., 131,8% к январю-марту 2023).</w:t>
      </w:r>
      <w:proofErr w:type="gramEnd"/>
      <w:r>
        <w:rPr>
          <w:sz w:val="28"/>
          <w:szCs w:val="28"/>
        </w:rPr>
        <w:t xml:space="preserve"> Просроченная задолженность о заработной плате отсутствует.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Рост показателя среднемесячной заработной платы наблюдается в большем количестве отраслей экономической деятельности, снижение уровня заработной платы наблюдается в секторе обрабатывающего производства: производство бумаги и бумажных изделий на 5%, металлургического производства - 19,3%, в секторе организации сбора и  утилизации отходов - 19,3%, секторе строительства: работы строительные специализированные - 3,3%. Рост показателя среднемесячной заработной платы связан с проведением индексации, в том числе на основании </w:t>
      </w:r>
      <w:r>
        <w:rPr>
          <w:sz w:val="28"/>
          <w:szCs w:val="28"/>
        </w:rPr>
        <w:t>внесенного</w:t>
      </w:r>
      <w:proofErr w:type="gramEnd"/>
      <w:r>
        <w:rPr>
          <w:sz w:val="28"/>
          <w:szCs w:val="28"/>
        </w:rPr>
        <w:t xml:space="preserve"> изменения от 30.10.2023 № 803-рп в распоряжение Правительства Приморского края от 28 декабря 2020 года № 623-рп «Об установлении прогнозных значений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Приморском крае».</w:t>
      </w:r>
      <w:r>
        <w:rPr>
          <w:sz w:val="28"/>
          <w:szCs w:val="28"/>
          <w:lang w:eastAsia="ru-RU"/>
        </w:rPr>
        <w:t xml:space="preserve"> 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Объем инвестиций в основной капитал. </w:t>
      </w:r>
      <w:r>
        <w:rPr>
          <w:sz w:val="28"/>
          <w:szCs w:val="28"/>
        </w:rPr>
        <w:t xml:space="preserve">Анализ показателя приводится на основании данных статистической отчетности от организаций, </w:t>
      </w:r>
      <w:r w:rsidR="00B3562E">
        <w:rPr>
          <w:sz w:val="28"/>
          <w:szCs w:val="28"/>
        </w:rPr>
        <w:t xml:space="preserve">зарегистрированных на территории городского округа Большой Камень, </w:t>
      </w:r>
      <w:r>
        <w:rPr>
          <w:sz w:val="28"/>
          <w:szCs w:val="28"/>
        </w:rPr>
        <w:t xml:space="preserve">в том числе </w:t>
      </w:r>
      <w:r>
        <w:rPr>
          <w:sz w:val="28"/>
          <w:szCs w:val="28"/>
          <w:lang w:eastAsia="ru-RU"/>
        </w:rPr>
        <w:t xml:space="preserve">предприятия судостроительной отрасли и </w:t>
      </w:r>
      <w:r w:rsidR="00B3562E">
        <w:rPr>
          <w:sz w:val="28"/>
          <w:szCs w:val="28"/>
          <w:lang w:eastAsia="ru-RU"/>
        </w:rPr>
        <w:t>резиденты ТОР «Большой Камень»</w:t>
      </w:r>
      <w:r>
        <w:rPr>
          <w:sz w:val="28"/>
          <w:szCs w:val="28"/>
          <w:lang w:eastAsia="ru-RU"/>
        </w:rPr>
        <w:t xml:space="preserve">. </w:t>
      </w:r>
    </w:p>
    <w:p w:rsidR="00067370" w:rsidRDefault="00863CFC">
      <w:pPr>
        <w:spacing w:line="276" w:lineRule="auto"/>
        <w:ind w:firstLine="720"/>
        <w:jc w:val="both"/>
        <w:rPr>
          <w:highlight w:val="white"/>
        </w:rPr>
      </w:pPr>
      <w:r>
        <w:rPr>
          <w:sz w:val="28"/>
          <w:szCs w:val="28"/>
        </w:rPr>
        <w:lastRenderedPageBreak/>
        <w:t xml:space="preserve">Введено жилья (3,318 тыс. кв. м., 101,5% к январю-марту 2023). </w:t>
      </w:r>
      <w:r>
        <w:rPr>
          <w:sz w:val="28"/>
          <w:szCs w:val="28"/>
          <w:lang w:eastAsia="ru-RU"/>
        </w:rPr>
        <w:t xml:space="preserve">В отчетном периоде </w:t>
      </w:r>
      <w:proofErr w:type="gramStart"/>
      <w:r>
        <w:rPr>
          <w:sz w:val="28"/>
          <w:szCs w:val="28"/>
          <w:lang w:eastAsia="ru-RU"/>
        </w:rPr>
        <w:t>введены</w:t>
      </w:r>
      <w:proofErr w:type="gramEnd"/>
      <w:r>
        <w:rPr>
          <w:sz w:val="28"/>
          <w:szCs w:val="28"/>
          <w:lang w:eastAsia="ru-RU"/>
        </w:rPr>
        <w:t xml:space="preserve"> в эксплуатацию </w:t>
      </w:r>
      <w:r>
        <w:rPr>
          <w:sz w:val="28"/>
          <w:szCs w:val="28"/>
          <w:highlight w:val="white"/>
          <w:lang w:eastAsia="ru-RU"/>
        </w:rPr>
        <w:t>один многоквартирный дом по ул. Академика Курчатова 21А, общее количество квартир - 81.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целом уровень обеспеченности населения городского округа жильем, по оценке сложился в 22,9 кв.м. на душу населения (104,1% к январю-марту 2023).</w:t>
      </w:r>
    </w:p>
    <w:p w:rsidR="00067370" w:rsidRDefault="00863CF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Уровень зарегистрированной безработицы снизился на 0,2 </w:t>
      </w:r>
      <w:proofErr w:type="gramStart"/>
      <w:r>
        <w:rPr>
          <w:sz w:val="28"/>
          <w:szCs w:val="28"/>
          <w:lang w:eastAsia="ru-RU"/>
        </w:rPr>
        <w:t>процентных</w:t>
      </w:r>
      <w:proofErr w:type="gramEnd"/>
      <w:r>
        <w:rPr>
          <w:sz w:val="28"/>
          <w:szCs w:val="28"/>
          <w:lang w:eastAsia="ru-RU"/>
        </w:rPr>
        <w:t xml:space="preserve"> пункта к январю-марту 2023. </w:t>
      </w:r>
    </w:p>
    <w:p w:rsidR="00067370" w:rsidRDefault="00863CFC">
      <w:pPr>
        <w:spacing w:line="276" w:lineRule="auto"/>
        <w:ind w:firstLine="709"/>
        <w:jc w:val="both"/>
      </w:pPr>
      <w:r>
        <w:rPr>
          <w:sz w:val="28"/>
          <w:szCs w:val="28"/>
        </w:rPr>
        <w:t>Напряженность на рынке труда составила 8,4 незанятых граждан, приходящихся на 100 вакансий (показатель снизился и составил 153,3 % к январю-марту 2023).</w:t>
      </w:r>
    </w:p>
    <w:p w:rsidR="00067370" w:rsidRDefault="00863CFC">
      <w:pPr>
        <w:spacing w:line="276" w:lineRule="auto"/>
        <w:ind w:firstLine="708"/>
        <w:jc w:val="both"/>
      </w:pPr>
      <w:r>
        <w:rPr>
          <w:b/>
          <w:sz w:val="28"/>
          <w:szCs w:val="28"/>
          <w:lang w:eastAsia="ru-RU"/>
        </w:rPr>
        <w:t>1.4. Меры поддержки, реализуемые администрацией городского округа</w:t>
      </w:r>
    </w:p>
    <w:p w:rsidR="00067370" w:rsidRDefault="00863CF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городского округа в рамках муниципальной программы  «Экономическое развитие городского округа Большой Камень» на 2020-2027 годы» в 2024 году составил 235,0 тыс. руб., фактически освоено за 1 квартал 2024 г. 0 тыс. руб. Освоение предполагается во II квартале 2024 года 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В рамках подпрограммы «Содействие развитию малого и среднего предпринимательства» предоставляется «Поддержка и развитие субъектов малого и среднего предпринимательства», в том числе: 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- Информационная и консультационная поддержка:</w:t>
      </w:r>
    </w:p>
    <w:p w:rsidR="00067370" w:rsidRDefault="00863CFC">
      <w:pPr>
        <w:tabs>
          <w:tab w:val="left" w:pos="-7655"/>
        </w:tabs>
        <w:spacing w:line="276" w:lineRule="auto"/>
        <w:ind w:firstLine="709"/>
        <w:jc w:val="both"/>
      </w:pPr>
      <w:r>
        <w:rPr>
          <w:sz w:val="28"/>
          <w:szCs w:val="28"/>
        </w:rPr>
        <w:t xml:space="preserve">Проведено 4 </w:t>
      </w:r>
      <w:proofErr w:type="gramStart"/>
      <w:r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 xml:space="preserve"> бесплатных семинара на платформе Центра «Мой бизнес». Проведено 2 рабочих совещания координационного совета МПС при главе ГО БК.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Проведено более 15 консультаций с МСП по вопросам: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- финансовая поддержка;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-имущественная поддержка;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-другие вопросы.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По вопросам «Защиты прав потребителей» было проведено: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- более 12 консультаций населения;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</w:rPr>
        <w:t>- 3 рабочих встречи индивидуальных предпринимателей по жалобам граждан – все вопросы были решены.</w:t>
      </w:r>
    </w:p>
    <w:p w:rsidR="00067370" w:rsidRDefault="00863CFC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- Имущественная поддержка. 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муниципального имущества городского округа,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 39 объект, из них 26 объектов предоставлены в аренду субъектам малого и среднего предпринимательства.  По сравнению с 2023 годом перечень </w:t>
      </w:r>
      <w:proofErr w:type="gramStart"/>
      <w:r>
        <w:rPr>
          <w:sz w:val="28"/>
          <w:szCs w:val="28"/>
        </w:rPr>
        <w:lastRenderedPageBreak/>
        <w:t>муниципального имущества, предназначенного для предоставления субъектам малого и среднего предпринимательства дополнен</w:t>
      </w:r>
      <w:proofErr w:type="gramEnd"/>
      <w:r>
        <w:rPr>
          <w:sz w:val="28"/>
          <w:szCs w:val="28"/>
        </w:rPr>
        <w:t xml:space="preserve"> на 34,5%.</w:t>
      </w:r>
    </w:p>
    <w:p w:rsidR="00067370" w:rsidRDefault="00863CFC">
      <w:pPr>
        <w:spacing w:line="276" w:lineRule="auto"/>
        <w:ind w:firstLine="720"/>
        <w:jc w:val="both"/>
      </w:pPr>
      <w:r>
        <w:rPr>
          <w:sz w:val="28"/>
          <w:szCs w:val="28"/>
        </w:rPr>
        <w:t>В 1 квартале 2024 года имущественная поддержка в части предоставления в аренду земельных участков не предоставлялась.</w:t>
      </w:r>
      <w:r>
        <w:rPr>
          <w:sz w:val="28"/>
          <w:szCs w:val="28"/>
          <w:lang w:eastAsia="ru-RU"/>
        </w:rPr>
        <w:t xml:space="preserve"> </w:t>
      </w:r>
    </w:p>
    <w:p w:rsidR="00067370" w:rsidRDefault="00863CFC">
      <w:pPr>
        <w:widowControl w:val="0"/>
        <w:spacing w:line="276" w:lineRule="auto"/>
        <w:ind w:firstLine="708"/>
        <w:jc w:val="both"/>
      </w:pPr>
      <w:r>
        <w:rPr>
          <w:b/>
          <w:sz w:val="28"/>
          <w:szCs w:val="28"/>
          <w:lang w:eastAsia="ru-RU"/>
        </w:rPr>
        <w:t>1.5. Перспективы развития городского округа</w:t>
      </w:r>
    </w:p>
    <w:p w:rsidR="00067370" w:rsidRDefault="00863CFC">
      <w:pPr>
        <w:spacing w:line="276" w:lineRule="auto"/>
        <w:ind w:firstLine="720"/>
        <w:jc w:val="both"/>
      </w:pPr>
      <w:r>
        <w:rPr>
          <w:sz w:val="28"/>
          <w:szCs w:val="28"/>
        </w:rPr>
        <w:t>Основные направления развития городского округа Большой Камень: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Развитие социальной инфраструктуры. В данном направлении в 2024 году продолжается реализация мероприятий: «Капитальный ремонт здания МАУ Дворец Культуры «Звезда», «Реконструкция стадиона «Южный» в микрорайоне Южная Лифляндия г. Большой Камень»; «Строительство объекта капительного строительства «Строительство Центра культурного развития в г. Большой Камень», начата реализация мероприятия «Строительство физкультурно-оздоровительного комплекса с плавательным бассейном».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по строительству «Детского сада на 120 мест в микрорайоне «Садовый» в г. Большой Камень» проведены проектно-изыскательские работы, подготовлена проектно-сметная документация и  получено положительное заключение КГАУ «Примгосэкспертиза», начаты строительно-монтажные работы. 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Начато благоустройство общественной территории – сквера в районе «Юность», планируется заключение муниципального контракта на благоустройство парка культуры и отдыха по ул. Андреевская. Продолжается благоустройство парковой зоны, расположенной юго-западнее здания N 49 по ул. Карла Маркса. 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Заключено три муниципальных контракта в рамках реализации проекта инициативного бюджетирования по направлению «Твой проект»: «Пусть светиться ярко родное село», «Благоустройство пешеходной дорожки».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Реализуется проект инициативного бюджетирования по направлению «Молодежный бюджет»: благоустройство </w:t>
      </w:r>
      <w:proofErr w:type="spellStart"/>
      <w:r>
        <w:rPr>
          <w:sz w:val="28"/>
          <w:szCs w:val="28"/>
        </w:rPr>
        <w:t>коворкинг</w:t>
      </w:r>
      <w:proofErr w:type="spellEnd"/>
      <w:r>
        <w:rPr>
          <w:sz w:val="28"/>
          <w:szCs w:val="28"/>
        </w:rPr>
        <w:t xml:space="preserve"> зоны с установкой малых архитектурных форм, расположенной между нежилым зданием по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2В и зданием МБОУ СОШ №2; благоустройство спортивной площадки МБОУ СОШ №1.</w:t>
      </w:r>
    </w:p>
    <w:p w:rsidR="00067370" w:rsidRDefault="00863CFC">
      <w:pPr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2) Развитие коммунальной инфраструктуры в 2024 году планируется:</w:t>
      </w:r>
    </w:p>
    <w:p w:rsidR="00067370" w:rsidRDefault="00863CFC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Осуществить технологическое присоединение к централизованным сетям водоснабжения построенные сети водоснабжения микрорайона «Морской» для обеспечения инженерной инфраструктурой земельных участков, предоставленных на бесплатной основе гражданам, имеющих трех и более детей»;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3 этапа ливневой канализации г. Большой Камень;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водоочистных сооружений г. Большой Камень;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Капитальный ремонт 2-х участков тепловых сетей;</w:t>
      </w:r>
    </w:p>
    <w:p w:rsidR="00067370" w:rsidRDefault="00863CFC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3) Комплексное жилищное строительство (застройка микрорайонов для сотрудников ООО «ССК «Звезда») общая площадь жилых помещений в многоквартирных жилых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введенных в 2024 году составит 127 526 кв.м. Остается проблемным вопросом отсутствие ливневой канализации от домов 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«Садовый», что может нарушить сроки ввода в эксплуатацию жилья в микрорайоне «Садовый».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Развитие транспортной инфраструктуры. 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Заключены двухгодичные контракты на разработку проектно-сметной документации по объектам: «Реконструкция автомобильной дороги от ул. Маслакова вдоль СК «Звезда» до территории ПМЗ»; «Реконструкция автомобильной дороги местного значения от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 Петровка до территории ПМЗ».</w:t>
      </w:r>
    </w:p>
    <w:p w:rsidR="00067370" w:rsidRDefault="00863CFC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Разрабатывается проектная документация по объекту - </w:t>
      </w:r>
      <w:r>
        <w:rPr>
          <w:color w:val="000000" w:themeColor="text1"/>
          <w:sz w:val="28"/>
          <w:szCs w:val="40"/>
          <w:highlight w:val="white"/>
        </w:rPr>
        <w:t>Строительство автомобильной дороги к микрорайону «Нагорный» № 1, (0,31 км)</w:t>
      </w:r>
      <w:r>
        <w:rPr>
          <w:color w:val="000000" w:themeColor="text1"/>
          <w:sz w:val="28"/>
          <w:szCs w:val="28"/>
          <w:lang w:eastAsia="ru-RU"/>
        </w:rPr>
        <w:t>.</w:t>
      </w:r>
    </w:p>
    <w:p w:rsidR="00067370" w:rsidRDefault="00863CFC">
      <w:pPr>
        <w:spacing w:line="276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>1.6. Проблемные вопросы</w:t>
      </w:r>
    </w:p>
    <w:p w:rsidR="00067370" w:rsidRDefault="00863CF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 xml:space="preserve">1) Законом Приморского края от 22.12.2023 № 495-КЗ «О краевом бюджете на 2024 год и плановый период 2025 и 2026 годов» (ред. от 28.02.2024) не предусмотрена </w:t>
      </w:r>
      <w:r>
        <w:rPr>
          <w:color w:val="000000" w:themeColor="text1"/>
          <w:sz w:val="28"/>
          <w:szCs w:val="28"/>
          <w:lang w:eastAsia="zh-CN"/>
        </w:rPr>
        <w:t>дотация на выравнивание бюджетной обеспеченности муниципальных районов (муниципальных округов, городских округов)</w:t>
      </w:r>
      <w:r>
        <w:rPr>
          <w:color w:val="000000" w:themeColor="text1"/>
          <w:sz w:val="28"/>
          <w:szCs w:val="28"/>
          <w:lang w:eastAsia="ru-RU"/>
        </w:rPr>
        <w:t>, в том числе заменяемой дополнительными нормативами отчислений от налога на доходы физических лиц</w:t>
      </w:r>
      <w:r>
        <w:rPr>
          <w:bCs/>
          <w:color w:val="000000" w:themeColor="text1"/>
          <w:sz w:val="28"/>
          <w:szCs w:val="28"/>
        </w:rPr>
        <w:t>. Не предусмотрены дополнительные нормативы отчислений НДФЛ в бюджет городского округа, что значительно снижает доходную базу местного бюджета. Справочно: в 2019 году дополнительный норматив отчислений НДФЛ в бюджет городского округа составлял 17,9%.</w:t>
      </w:r>
    </w:p>
    <w:p w:rsidR="00067370" w:rsidRDefault="00863CF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Данные  изменения негативно повлияют на решение вопросов местного значения, на социально-экономическое развитие городского округа, а также на инвестиционную привлекательность территории города.   В сложившейся ситуации, необходимо принимать меры, предусматривающие оптимизацию расходов и увеличение доходов бюджета городского округа либо проработать вопрос об увеличении ставки норматива бюджету городского округа Большой Камень.</w:t>
      </w:r>
    </w:p>
    <w:p w:rsidR="00067370" w:rsidRDefault="00863CF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2) Сохраняется проблема обеспечения жилыми помещениями граждан, нуждающихся в улучшении жилищных условий и граждан социальной категории.</w:t>
      </w:r>
    </w:p>
    <w:p w:rsidR="00067370" w:rsidRDefault="00863CF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городском округе Большой Камень на учёте граждан в качестве нуждающихся в жилых помещениях, предоставляемых по договорам социального найма, по состоянию на 01.04.2024 состоит 361 семья  </w:t>
      </w:r>
      <w:r>
        <w:rPr>
          <w:bCs/>
          <w:color w:val="000000" w:themeColor="text1"/>
          <w:sz w:val="28"/>
          <w:szCs w:val="28"/>
        </w:rPr>
        <w:lastRenderedPageBreak/>
        <w:t xml:space="preserve">(1236 человек), что на 2,6% больше в сравнении с аналогичным периодом 2023 г. (352 семьи или 1292 человека), </w:t>
      </w:r>
    </w:p>
    <w:p w:rsidR="00067370" w:rsidRDefault="00863CF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 группу </w:t>
      </w:r>
      <w:proofErr w:type="gramStart"/>
      <w:r>
        <w:rPr>
          <w:bCs/>
          <w:color w:val="000000" w:themeColor="text1"/>
          <w:sz w:val="28"/>
          <w:szCs w:val="28"/>
        </w:rPr>
        <w:t>нуждающихся</w:t>
      </w:r>
      <w:proofErr w:type="gramEnd"/>
      <w:r>
        <w:rPr>
          <w:bCs/>
          <w:color w:val="000000" w:themeColor="text1"/>
          <w:sz w:val="28"/>
          <w:szCs w:val="28"/>
        </w:rPr>
        <w:t xml:space="preserve"> включены:</w:t>
      </w:r>
    </w:p>
    <w:p w:rsidR="00067370" w:rsidRDefault="00863CF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по категории «малоимущие граждане» – 293 семей (988 человек);</w:t>
      </w:r>
    </w:p>
    <w:p w:rsidR="00067370" w:rsidRDefault="00863CF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общая очередь граждан, вставших на учет до 01.03.2005 – 46 семей (173 человека); </w:t>
      </w:r>
    </w:p>
    <w:p w:rsidR="00067370" w:rsidRDefault="00863CF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граждане, принятые на учет в соответствии с № 426-КЗ – 11 семей (72 человека);</w:t>
      </w:r>
    </w:p>
    <w:p w:rsidR="00067370" w:rsidRDefault="00863CF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граждане, усыновившие детей – 1 семья (3 человека).</w:t>
      </w:r>
    </w:p>
    <w:p w:rsidR="00067370" w:rsidRDefault="00863CF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Незначительные объемы ввода жилищного фонда приводят к тому, что время ожидания жилого помещения для </w:t>
      </w:r>
      <w:proofErr w:type="gramStart"/>
      <w:r>
        <w:rPr>
          <w:bCs/>
          <w:color w:val="000000" w:themeColor="text1"/>
          <w:sz w:val="28"/>
          <w:szCs w:val="28"/>
        </w:rPr>
        <w:t>очередников, вставших до 1 марта 2005 года на учёт нуждающихся в улучшении жилищных условий составляет</w:t>
      </w:r>
      <w:proofErr w:type="gramEnd"/>
      <w:r>
        <w:rPr>
          <w:bCs/>
          <w:color w:val="000000" w:themeColor="text1"/>
          <w:sz w:val="28"/>
          <w:szCs w:val="28"/>
        </w:rPr>
        <w:t xml:space="preserve"> 26 лет (с 1997 года), для категории «малоимущие граждане» – 16 лет (с 2007 года).</w:t>
      </w:r>
    </w:p>
    <w:p w:rsidR="00067370" w:rsidRDefault="00863CF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граждан, состоящих на учете в качестве нуждающихся в жилых помещениях, необходимо обеспечить благоустроенными жилыми помещениями граждан, проживающих в многоквартирных жилых домах, признанных в установленном законом порядке ветхими, аварийными, подлежащими сносу. Решение вопросов переселения жителей из таких жилых домов возложено на органы местного самоуправления. 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Кроме этого, учитывая развитие территории и реализацию масштабных проектов, стоит проблема создания социальных объектов на территории города (строительство школ, д/садов, объектов спорта, объектов здравоохранения), в среднесрочной перспективе потребуют привлечения 160 специалистов основного персонала для работы в соответствующих сферах деятельности. </w:t>
      </w:r>
    </w:p>
    <w:p w:rsidR="00067370" w:rsidRDefault="00863CF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Имеющийся муниципальный жилищный фонд городского округа не располагает жилищными ресурсами для удовлетворения потребности в жилье граждан, проживающих на территории города, состоящих на учете в качестве нуждающихся в жилье и граждан социальной категории. Исходя из установленной нормы </w:t>
      </w:r>
      <w:r>
        <w:rPr>
          <w:color w:val="000000" w:themeColor="text1"/>
          <w:sz w:val="28"/>
          <w:szCs w:val="28"/>
        </w:rPr>
        <w:t>предоставления площади жилого помещения по договору социального найма (13,5 кв. м), общая потребность в жилье граждан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составляет около 22 000 кв.м. жилья.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>Учитывая, что государственными программами Приморского края на среднесрочный период не предусмотрены средства для реализации соответствующих мероприятий, проблема остается актуальной и требует проработки на более высоком уровне.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>3) Проблемы, препятствующие развитию коммунального хозяйства.</w:t>
      </w:r>
    </w:p>
    <w:p w:rsidR="00067370" w:rsidRDefault="00863CFC">
      <w:pPr>
        <w:tabs>
          <w:tab w:val="left" w:pos="993"/>
        </w:tabs>
        <w:spacing w:line="276" w:lineRule="auto"/>
        <w:ind w:firstLine="709"/>
        <w:jc w:val="both"/>
      </w:pPr>
      <w:r>
        <w:rPr>
          <w:sz w:val="28"/>
          <w:szCs w:val="28"/>
          <w:lang w:eastAsia="en-US"/>
        </w:rPr>
        <w:t xml:space="preserve">- Системы водоснабжения и водоотведения городского округа в настоящее время требуют реконструкции, модернизации и капитального </w:t>
      </w:r>
      <w:r>
        <w:rPr>
          <w:sz w:val="28"/>
          <w:szCs w:val="28"/>
          <w:lang w:eastAsia="en-US"/>
        </w:rPr>
        <w:lastRenderedPageBreak/>
        <w:t xml:space="preserve">ремонта, а также строительства новых объектов. Уровень износа водопроводных и канализационных сетей в среднем по городскому округу составляет более </w:t>
      </w:r>
      <w:r>
        <w:rPr>
          <w:color w:val="000000" w:themeColor="text1"/>
          <w:sz w:val="28"/>
          <w:szCs w:val="28"/>
          <w:lang w:eastAsia="en-US"/>
        </w:rPr>
        <w:t>80%</w:t>
      </w:r>
      <w:r>
        <w:rPr>
          <w:color w:val="00B050"/>
          <w:sz w:val="28"/>
          <w:szCs w:val="28"/>
          <w:lang w:eastAsia="en-US"/>
        </w:rPr>
        <w:t>.</w:t>
      </w:r>
    </w:p>
    <w:p w:rsidR="00067370" w:rsidRDefault="00863CFC">
      <w:pPr>
        <w:tabs>
          <w:tab w:val="left" w:pos="993"/>
        </w:tabs>
        <w:spacing w:after="200" w:line="276" w:lineRule="auto"/>
        <w:ind w:firstLine="709"/>
        <w:contextualSpacing/>
        <w:jc w:val="both"/>
      </w:pPr>
      <w:r>
        <w:rPr>
          <w:sz w:val="28"/>
          <w:szCs w:val="28"/>
          <w:lang w:eastAsia="en-US"/>
        </w:rPr>
        <w:t>- Состояние существующей ливневой канализации на территории городского округа не удовлетворяет требованиям по надлежащему санитарно-техническому состоянию объектов благоустройства и содержанию городской территории в целом.</w:t>
      </w:r>
    </w:p>
    <w:p w:rsidR="00067370" w:rsidRDefault="00863CFC">
      <w:pPr>
        <w:spacing w:line="276" w:lineRule="auto"/>
        <w:ind w:firstLine="708"/>
        <w:jc w:val="both"/>
      </w:pPr>
      <w:r>
        <w:rPr>
          <w:sz w:val="28"/>
          <w:szCs w:val="28"/>
          <w:lang w:eastAsia="en-US"/>
        </w:rPr>
        <w:t xml:space="preserve">При производстве строительных работ в рамках развития ТОР «Большой Камень» выявляются выпуски трубопроводов ливневой канализации в овраги. В результате </w:t>
      </w:r>
      <w:proofErr w:type="spellStart"/>
      <w:r>
        <w:rPr>
          <w:sz w:val="28"/>
          <w:szCs w:val="28"/>
          <w:lang w:eastAsia="en-US"/>
        </w:rPr>
        <w:t>незарегулирования</w:t>
      </w:r>
      <w:proofErr w:type="spellEnd"/>
      <w:r>
        <w:rPr>
          <w:sz w:val="28"/>
          <w:szCs w:val="28"/>
          <w:lang w:eastAsia="en-US"/>
        </w:rPr>
        <w:t xml:space="preserve"> ливневых сточных вод в единую систему городской ливневой канализации происходит подтопление строящихся объектов ТОР и территории городского округа.</w:t>
      </w:r>
    </w:p>
    <w:p w:rsidR="00067370" w:rsidRDefault="00863CFC">
      <w:pPr>
        <w:tabs>
          <w:tab w:val="left" w:pos="993"/>
        </w:tabs>
        <w:spacing w:after="200" w:line="276" w:lineRule="auto"/>
        <w:ind w:firstLine="851"/>
        <w:contextualSpacing/>
        <w:jc w:val="both"/>
      </w:pPr>
      <w:r>
        <w:rPr>
          <w:sz w:val="28"/>
          <w:szCs w:val="28"/>
          <w:lang w:eastAsia="en-US"/>
        </w:rPr>
        <w:t>- Объекты теплоснабжения также требуют реконструкции и модернизации. В связи с увеличением количества потребителей тепловой энергии при строительстве объектов ТОР «Большой Камень» и выводом из эксплуатации и демонтажем мазутной котельной «Центральная», которая являлась резервным источником теплоснабжения, на территории городского округа Большой Камень сложился дефицит тепловой энергии, вырабатываемой тепловыми источниками.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>Документами стратегического планирования на среднесрочный период (муниципальные программы, планы развития) предусмотрен ряд мероприятий, направленных на сохранение и создание коммунальной инфраструктуры. Бюджет городского округа не обеспечит реализацию соответствующих мероприятий в полном объеме. Требуется существенная поддержка вышестоящих бюджетов бюджетной системы Российской Федерации.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>4) В рамках развития транспортной инфраструктуры актуальной остается проблема разрушения асфальтобетонных дорог общего пользования городского округа.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В настоящее время значительная часть автомобильных дорог местного значения имеет высокую степень износа и практически исчерпала пропускную способность. Создание ТОР «Большой Камень» усугубило эту проблему. Повышение доли транспортных средств, осуществляющих перевозки тяжеловесных грузов по автомобильным дорогам в границах городского округа и несоответствие несущей способности этих дорог современным требованиям к нагрузкам является одной из основных причин разрушения дорожного покрытия. 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Для выполнения комплекса мер, направленных на повышение эксплуатационных и иных характеристик дорожного полотна, включая пропускную способность, согласно нормам действующего законодательства </w:t>
      </w:r>
      <w:r>
        <w:rPr>
          <w:bCs/>
          <w:sz w:val="28"/>
          <w:szCs w:val="28"/>
        </w:rPr>
        <w:lastRenderedPageBreak/>
        <w:t>Российской Федерации необходимо выполнить капитальный ремонт либо реконструкцию автомобильных дорог. При подготовке документации, обосновывающей капитальный ремонт и реконструкцию автомобильных дорог, выполняется разработка документов территориального планирования и проектно-сметная документация.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>В рамках своих полномочий органы местного самоуправления городского округа решают вопросы, связанные с дорожной деятельностью в отношении автомобильных дорог в границах города. Однако средств дорожного фонда бюджета городского округа недостаточно, для решения проблемы в целом, требуется принятие решений на уровне вышестоящих органов исполнительной власти.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>5) Сохраняется проблема обеспечения квалифицированными кадрами учреждений образования, здравоохранения.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>В настоящее время существует острая проблема нехватки квалифицированных кадров в учреждениях общего и дошкольного образования, н</w:t>
      </w:r>
      <w:r>
        <w:rPr>
          <w:sz w:val="28"/>
          <w:szCs w:val="28"/>
        </w:rPr>
        <w:t xml:space="preserve">едостаточная укомплектованность врачебными </w:t>
      </w:r>
      <w:r>
        <w:rPr>
          <w:bCs/>
          <w:sz w:val="28"/>
          <w:szCs w:val="28"/>
        </w:rPr>
        <w:t>кадрами в учреждениях здравоохранения. С созданием новых социальных объектов,  потребности в кадрах основного персонала значительно увеличатся.</w:t>
      </w:r>
    </w:p>
    <w:p w:rsidR="00067370" w:rsidRDefault="00863CFC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t xml:space="preserve">С целью привлечения квалифицированных кадров соответствующей категории на территорию городского округа Большой Камень необходимо рассмотреть вопросы создания комфортных условий, в том числе и решение вопроса по обеспечению привлеченных граждан жилыми помещениями. </w:t>
      </w:r>
    </w:p>
    <w:p w:rsidR="00067370" w:rsidRDefault="00863CFC">
      <w:pPr>
        <w:spacing w:line="276" w:lineRule="auto"/>
        <w:ind w:firstLine="720"/>
        <w:jc w:val="both"/>
      </w:pPr>
      <w:r>
        <w:rPr>
          <w:b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Документы стратегического  планирования городского округа Большой Камень</w:t>
      </w:r>
    </w:p>
    <w:p w:rsidR="00067370" w:rsidRDefault="00863CFC">
      <w:pPr>
        <w:tabs>
          <w:tab w:val="left" w:pos="993"/>
        </w:tabs>
        <w:spacing w:line="276" w:lineRule="auto"/>
        <w:ind w:firstLine="720"/>
        <w:jc w:val="both"/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  <w:t>Стратегия  социально-экономического развития городского округа Большой Камень до 2030 года (утверждена решением Думы городского округа Большой Камень  от 28.03.2019  № 173);</w:t>
      </w:r>
    </w:p>
    <w:p w:rsidR="00067370" w:rsidRDefault="00863CFC">
      <w:pPr>
        <w:tabs>
          <w:tab w:val="left" w:pos="993"/>
        </w:tabs>
        <w:spacing w:line="276" w:lineRule="auto"/>
        <w:ind w:firstLine="720"/>
        <w:jc w:val="both"/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  <w:t xml:space="preserve">План мероприятий по реализации Стратегия  социально-экономического развития городского округа Большой Камень до 2030 года (утвержден постановлением администрации городского округа Большой Камень от 27 мая 2020  №  789); </w:t>
      </w:r>
    </w:p>
    <w:p w:rsidR="00067370" w:rsidRDefault="00863CFC">
      <w:pPr>
        <w:tabs>
          <w:tab w:val="left" w:pos="993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  <w:t>13 муниципальных программ различной направленности;</w:t>
      </w:r>
    </w:p>
    <w:p w:rsidR="00067370" w:rsidRDefault="00863CFC">
      <w:pPr>
        <w:tabs>
          <w:tab w:val="left" w:pos="993"/>
        </w:tabs>
        <w:spacing w:line="276" w:lineRule="auto"/>
        <w:ind w:firstLine="720"/>
        <w:jc w:val="both"/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  <w:t>Утвержден д</w:t>
      </w:r>
      <w:r>
        <w:rPr>
          <w:sz w:val="28"/>
          <w:szCs w:val="28"/>
        </w:rPr>
        <w:t>олгосрочный план комплексного социально-экономического развития городского округа Большой Камень Приморского края на период до 2030 года согласно приложению № 20</w:t>
      </w:r>
      <w:r>
        <w:rPr>
          <w:sz w:val="28"/>
          <w:szCs w:val="28"/>
          <w:lang w:eastAsia="ru-RU"/>
        </w:rPr>
        <w:t xml:space="preserve"> (утвержден распоряжением Правительства Российской Федерации от 31 июля 2023 г. № 2058-р (</w:t>
      </w:r>
      <w:r>
        <w:rPr>
          <w:color w:val="392C69"/>
          <w:sz w:val="28"/>
          <w:szCs w:val="28"/>
          <w:lang w:eastAsia="zh-CN"/>
        </w:rPr>
        <w:t xml:space="preserve">в ред. </w:t>
      </w:r>
      <w:hyperlink r:id="rId9" w:tooltip="https://login.consultant.ru/link/?req=doc&amp;base=EXP&amp;n=839745&amp;dst=100003" w:history="1">
        <w:r>
          <w:rPr>
            <w:sz w:val="28"/>
            <w:szCs w:val="28"/>
            <w:lang w:eastAsia="zh-CN"/>
          </w:rPr>
          <w:t>распоряжения</w:t>
        </w:r>
      </w:hyperlink>
      <w:r>
        <w:rPr>
          <w:sz w:val="28"/>
          <w:szCs w:val="28"/>
          <w:lang w:eastAsia="zh-CN"/>
        </w:rPr>
        <w:t xml:space="preserve"> Правительства РФ от 29.12.2023 N 4073-р)</w:t>
      </w:r>
      <w:r>
        <w:rPr>
          <w:sz w:val="28"/>
          <w:szCs w:val="28"/>
          <w:lang w:eastAsia="ru-RU"/>
        </w:rPr>
        <w:t>;</w:t>
      </w:r>
    </w:p>
    <w:p w:rsidR="00067370" w:rsidRDefault="00863CFC">
      <w:pPr>
        <w:tabs>
          <w:tab w:val="left" w:pos="993"/>
        </w:tabs>
        <w:spacing w:line="276" w:lineRule="auto"/>
        <w:ind w:firstLine="720"/>
        <w:jc w:val="both"/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ab/>
        <w:t xml:space="preserve">Прогноз социально-экономического развития городского округа Большой Камень на 2023 год и на плановый период 2024 и 2025 годов </w:t>
      </w:r>
      <w:r>
        <w:rPr>
          <w:sz w:val="28"/>
          <w:szCs w:val="28"/>
          <w:lang w:eastAsia="ru-RU"/>
        </w:rPr>
        <w:lastRenderedPageBreak/>
        <w:t>(утвержден постановлением администрации городского округа Большой Камень от 29 сентября 2023 № 3164).</w:t>
      </w:r>
    </w:p>
    <w:p w:rsidR="00067370" w:rsidRDefault="00863CFC">
      <w:pPr>
        <w:spacing w:line="276" w:lineRule="auto"/>
        <w:ind w:firstLine="720"/>
        <w:jc w:val="both"/>
      </w:pPr>
      <w:r>
        <w:rPr>
          <w:b/>
          <w:sz w:val="28"/>
          <w:szCs w:val="28"/>
          <w:lang w:eastAsia="ru-RU"/>
        </w:rPr>
        <w:t>Участие городского округа Большой Камень в государственных программах Приморского края:</w:t>
      </w:r>
    </w:p>
    <w:p w:rsidR="00067370" w:rsidRDefault="00863CFC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программа Приморского края «Развитие образования Приморского края» на 2020 – 2027 годы.</w:t>
      </w:r>
    </w:p>
    <w:p w:rsidR="00067370" w:rsidRDefault="00863CFC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программа Приморского края «Развитие культуры Приморского края на 2020 – 2027 годы».</w:t>
      </w:r>
    </w:p>
    <w:p w:rsidR="00067370" w:rsidRDefault="00863CFC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программа Приморского края «Развитие физической культуры и спорта Приморского края» на 2020 – 2027 годы.</w:t>
      </w:r>
    </w:p>
    <w:p w:rsidR="00067370" w:rsidRDefault="00863CFC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программа Приморского края «Развитие транспортного комплекса Приморского края» на 2020 – 2027 годы.</w:t>
      </w:r>
    </w:p>
    <w:p w:rsidR="00067370" w:rsidRDefault="00863CFC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программа Приморского края «Формирование современной городской среды муниципальных образований Приморского края» на 2020 – 2027 годы.</w:t>
      </w:r>
    </w:p>
    <w:p w:rsidR="00067370" w:rsidRDefault="00863CFC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Адресная государственная программа «Переселение из аварийного жилищного фонда в Приморском крае» на 2019–2025 годы.</w:t>
      </w:r>
    </w:p>
    <w:p w:rsidR="00067370" w:rsidRDefault="00863CFC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Государственная программа Приморского края «Обеспечение доступным жильем и качественными услугами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–коммунального хозяйства населения Приморского края».</w:t>
      </w:r>
    </w:p>
    <w:p w:rsidR="00067370" w:rsidRDefault="00863CFC">
      <w:pPr>
        <w:spacing w:line="276" w:lineRule="auto"/>
        <w:ind w:firstLine="720"/>
        <w:jc w:val="both"/>
      </w:pPr>
      <w:r>
        <w:rPr>
          <w:b/>
          <w:sz w:val="28"/>
          <w:szCs w:val="28"/>
          <w:lang w:eastAsia="ru-RU"/>
        </w:rPr>
        <w:t>Утвержденные документы территориального развития:</w:t>
      </w:r>
    </w:p>
    <w:p w:rsidR="00067370" w:rsidRDefault="00863CFC">
      <w:pPr>
        <w:tabs>
          <w:tab w:val="center" w:pos="-2268"/>
          <w:tab w:val="left" w:pos="993"/>
        </w:tabs>
        <w:spacing w:line="276" w:lineRule="auto"/>
        <w:ind w:firstLine="720"/>
        <w:jc w:val="both"/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  <w:t xml:space="preserve">Генеральный план городского округа Большой Камень (в новой редакции) </w:t>
      </w:r>
      <w:r>
        <w:rPr>
          <w:sz w:val="28"/>
          <w:szCs w:val="28"/>
          <w:lang w:eastAsia="en-US"/>
        </w:rPr>
        <w:t>(утвержден  решением Думы городского округа Большой Камень № 497 от 02.12.2021 года);</w:t>
      </w:r>
    </w:p>
    <w:p w:rsidR="00067370" w:rsidRDefault="00863CFC">
      <w:pPr>
        <w:tabs>
          <w:tab w:val="center" w:pos="-2268"/>
          <w:tab w:val="left" w:pos="993"/>
        </w:tabs>
        <w:spacing w:line="276" w:lineRule="auto"/>
        <w:ind w:firstLine="720"/>
        <w:jc w:val="both"/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 xml:space="preserve">Постановление администрации городского округа Большой Камень от 25.07.2022 № 1558 «О внесении изменений в правила землепользования и застройки городского округа Большой Камень </w:t>
      </w:r>
      <w:r>
        <w:rPr>
          <w:sz w:val="28"/>
          <w:szCs w:val="28"/>
          <w:lang w:eastAsia="en-US"/>
        </w:rPr>
        <w:t>утвержденные постановлением администрации городского округа Большой Камень № 3269 от 22.12.2021 года).</w:t>
      </w:r>
      <w:proofErr w:type="gramEnd"/>
    </w:p>
    <w:p w:rsidR="00067370" w:rsidRDefault="00863CFC">
      <w:pPr>
        <w:spacing w:line="276" w:lineRule="auto"/>
        <w:ind w:firstLine="720"/>
        <w:jc w:val="both"/>
      </w:pPr>
      <w:r>
        <w:rPr>
          <w:b/>
          <w:sz w:val="28"/>
          <w:szCs w:val="28"/>
          <w:lang w:eastAsia="ru-RU"/>
        </w:rPr>
        <w:t>3. Инвестиционные проекты городского округа Большой Камень</w:t>
      </w:r>
    </w:p>
    <w:p w:rsidR="00067370" w:rsidRDefault="00863CF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инвестиционных проектов, реализуемых в 2024 году и в 2025 году на территории городского округа, сформирован в табличной форме по проектам резидентов ТОР «Большой Камень» и проектам, осуществляемым за счет бюджетных инвестиций (приложения №1, № 2).</w:t>
      </w:r>
    </w:p>
    <w:p w:rsidR="00067370" w:rsidRDefault="0006737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067370" w:rsidRDefault="00863CFC">
      <w:pPr>
        <w:spacing w:line="360" w:lineRule="auto"/>
        <w:jc w:val="center"/>
      </w:pPr>
      <w:r>
        <w:rPr>
          <w:sz w:val="28"/>
          <w:szCs w:val="28"/>
          <w:lang w:eastAsia="ru-RU"/>
        </w:rPr>
        <w:t>________________</w:t>
      </w:r>
    </w:p>
    <w:p w:rsidR="00067370" w:rsidRDefault="00863CFC">
      <w:r>
        <w:br w:type="page" w:clear="all"/>
      </w:r>
    </w:p>
    <w:p w:rsidR="00067370" w:rsidRDefault="00067370">
      <w:pPr>
        <w:spacing w:line="360" w:lineRule="auto"/>
        <w:ind w:firstLine="720"/>
        <w:jc w:val="both"/>
        <w:sectPr w:rsidR="00067370">
          <w:pgSz w:w="11906" w:h="16838"/>
          <w:pgMar w:top="993" w:right="851" w:bottom="851" w:left="1701" w:header="0" w:footer="0" w:gutter="0"/>
          <w:cols w:space="1701"/>
          <w:docGrid w:linePitch="360"/>
        </w:sectPr>
      </w:pPr>
    </w:p>
    <w:p w:rsidR="00067370" w:rsidRDefault="00863C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67370" w:rsidRDefault="0086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67370" w:rsidRDefault="0086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проектов, </w:t>
      </w:r>
    </w:p>
    <w:p w:rsidR="00067370" w:rsidRDefault="00863C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на территории городского округа Большой Камень </w:t>
      </w:r>
    </w:p>
    <w:p w:rsidR="00067370" w:rsidRDefault="00863CF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2024 году</w:t>
      </w:r>
    </w:p>
    <w:p w:rsidR="00067370" w:rsidRDefault="00067370">
      <w:pPr>
        <w:jc w:val="center"/>
        <w:rPr>
          <w:sz w:val="28"/>
          <w:szCs w:val="28"/>
        </w:rPr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978"/>
        <w:gridCol w:w="14"/>
        <w:gridCol w:w="1418"/>
        <w:gridCol w:w="1701"/>
        <w:gridCol w:w="5103"/>
      </w:tblGrid>
      <w:tr w:rsidR="00067370">
        <w:tc>
          <w:tcPr>
            <w:tcW w:w="675" w:type="dxa"/>
            <w:vMerge w:val="restart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№ </w:t>
            </w:r>
            <w:proofErr w:type="gramStart"/>
            <w:r>
              <w:rPr>
                <w:rFonts w:cs="Times New Roman"/>
                <w:lang w:bidi="ar-SA"/>
              </w:rPr>
              <w:t>п</w:t>
            </w:r>
            <w:proofErr w:type="gramEnd"/>
            <w:r>
              <w:rPr>
                <w:rFonts w:cs="Times New Roman"/>
                <w:lang w:bidi="ar-SA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Параметра проекта (при наличии)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Срок реализации, годы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Объем финансирования проекта, млн. руб.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Примечание</w:t>
            </w:r>
          </w:p>
        </w:tc>
      </w:tr>
      <w:tr w:rsidR="00067370">
        <w:tc>
          <w:tcPr>
            <w:tcW w:w="675" w:type="dxa"/>
            <w:vMerge/>
            <w:shd w:val="clear" w:color="auto" w:fill="auto"/>
          </w:tcPr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Всего</w:t>
            </w:r>
          </w:p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Освоено</w:t>
            </w:r>
          </w:p>
        </w:tc>
        <w:tc>
          <w:tcPr>
            <w:tcW w:w="5103" w:type="dxa"/>
            <w:vMerge/>
            <w:shd w:val="clear" w:color="auto" w:fill="auto"/>
          </w:tcPr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</w:tr>
      <w:tr w:rsidR="00067370">
        <w:trPr>
          <w:tblHeader/>
        </w:trPr>
        <w:tc>
          <w:tcPr>
            <w:tcW w:w="675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color w:val="FF0000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7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школы на 550 мест в микрорайоне «Парковый»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550 мест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2021-2026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1 305,5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5,54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 – 2022 гг.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2025-2026 гг. -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планируется в 2026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7370" w:rsidRDefault="00863CFC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Строительство детского сада на 120 мест в микрорайоне «Садовый « в г. Большой Камень, в том числе проектно-изыскательские работы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 xml:space="preserve">120 </w:t>
            </w:r>
            <w:proofErr w:type="spellStart"/>
            <w:r>
              <w:rPr>
                <w:rFonts w:cs="Times New Roman"/>
                <w:lang w:bidi="ar-SA"/>
              </w:rPr>
              <w:t>мес</w:t>
            </w:r>
            <w:proofErr w:type="spellEnd"/>
            <w:r>
              <w:rPr>
                <w:rFonts w:cs="Times New Roman"/>
                <w:lang w:val="en-US" w:bidi="ar-SA"/>
              </w:rPr>
              <w:t>т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val="en-US" w:bidi="ar-SA"/>
              </w:rPr>
              <w:t>202</w:t>
            </w:r>
            <w:r>
              <w:rPr>
                <w:rFonts w:cs="Times New Roman"/>
                <w:lang w:bidi="ar-SA"/>
              </w:rPr>
              <w:t>2</w:t>
            </w:r>
            <w:r>
              <w:rPr>
                <w:rFonts w:cs="Times New Roman"/>
                <w:lang w:val="en-US" w:bidi="ar-SA"/>
              </w:rPr>
              <w:t>-202</w:t>
            </w: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379,4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79,39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2022-2023 гг.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2023-2024 гг.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планируется в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200 мест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426,7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6,98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 гг.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2024-2025гг. -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Ввод в эксплуатацию планируется 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 2025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стадиона «Южный» в микрорайоне Южная Лифляндия г. Большой Камень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ЕПС 64 чел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2020-2024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294,8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116,77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2020-2021 гг.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2023-2024гг. -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планируется в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здания МАУ «Спортивный комплекс» г. Большой Камень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ЕПС 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225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2021-2027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405,5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5,52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гг. -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2026-2027 гг. – строительные работы 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2027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Перевод муниципальных котельных на использование газа (Котельная № 4 по ул. Ольховая) 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проект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bidi="ar-SA"/>
              </w:rPr>
              <w:t xml:space="preserve">2020-2025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57,6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3,25</w:t>
            </w:r>
          </w:p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2020-2021 гг. – проектные работы;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 г. – строительно-монтажные работы.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сетей ливневой канализации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Объём стоков 1 468,25 м3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3 741,8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54,23</w:t>
            </w:r>
          </w:p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2024-2027 гг.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2027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водоводов (с учетом замены запорной арматуры)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16,18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2021-2028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color w:val="FF0000"/>
                <w:lang w:bidi="ar-SA"/>
              </w:rPr>
            </w:pPr>
            <w:r>
              <w:rPr>
                <w:rFonts w:cs="Times New Roman"/>
                <w:lang w:bidi="ar-SA"/>
              </w:rPr>
              <w:t>5269,8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27,72</w:t>
            </w:r>
          </w:p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2021-2023 гг. – проектные работы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2025-2028 гг.-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2028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t>Реконструкция очистных сооружений водоснабжения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t>36,40 тыс. куб. м/сутки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</w:pPr>
            <w:r>
              <w:t>2020-2027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t>1 403,8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</w:pPr>
            <w:r>
              <w:t>83,18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r>
              <w:t xml:space="preserve">2020-2021 </w:t>
            </w:r>
            <w:r>
              <w:rPr>
                <w:rFonts w:cs="Times New Roman"/>
                <w:lang w:bidi="ar-SA"/>
              </w:rPr>
              <w:t>– проектные работы</w:t>
            </w:r>
          </w:p>
          <w:p w:rsidR="00067370" w:rsidRDefault="00863CFC">
            <w:r>
              <w:t>2024-2027 – строительные работы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t>Реконструкция очистных сооружений водоотведения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t>51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</w:pPr>
            <w:r>
              <w:t>2020-2027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t>3 164,5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</w:pPr>
            <w:r>
              <w:t>9,11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r>
              <w:t xml:space="preserve">2020-2021 </w:t>
            </w:r>
            <w:r>
              <w:rPr>
                <w:rFonts w:cs="Times New Roman"/>
                <w:lang w:bidi="ar-SA"/>
              </w:rPr>
              <w:t>– проектные работы</w:t>
            </w:r>
          </w:p>
          <w:p w:rsidR="00067370" w:rsidRDefault="00863CFC">
            <w:r>
              <w:t>2024-2027 – строительные работы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Реконструкция автомобильной дороги общего назначения «Пригородная» (1 этап – Мост № 2 (имеется проектная документация);  2 этап – строительство дороги 4 км) 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Мост №2,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4 км 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2020-2026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1 938,4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129,42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2020-2021 гг. – строительство моста № 2 (1 этап),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2021 -2022 </w:t>
            </w:r>
            <w:proofErr w:type="spellStart"/>
            <w:proofErr w:type="gramStart"/>
            <w:r>
              <w:rPr>
                <w:rFonts w:cs="Times New Roman"/>
                <w:lang w:bidi="ar-SA"/>
              </w:rPr>
              <w:t>гг</w:t>
            </w:r>
            <w:proofErr w:type="spellEnd"/>
            <w:proofErr w:type="gramEnd"/>
            <w:r>
              <w:rPr>
                <w:rFonts w:cs="Times New Roman"/>
                <w:lang w:bidi="ar-SA"/>
              </w:rPr>
              <w:t xml:space="preserve"> - проектные работы по реконструкции а/д Пригородная (2 этап),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2024г. – строительные работы 2 этапа.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«Первомайская - Новомировская»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4,1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2021-2027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782,7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5,73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2025-2027 гг.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2027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 (от автомобильной дороги «Объездная»  вдоль микрорайона «Садовый» до строящейся модульно-блочной котельной), 1,5 км.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1,5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176,6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4,09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2020-2022 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2024г.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t>Реконструкция автомобильной дороги ул. Маслакова, 1,089 км.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t>1,089 км.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</w:pPr>
            <w:r>
              <w:t>2020-2025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t>197,9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</w:pPr>
            <w:r>
              <w:t>5,7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2020-2023 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2024-2025г. – строительные работы.</w:t>
            </w:r>
          </w:p>
          <w:p w:rsidR="00067370" w:rsidRDefault="00863CFC"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ул. Садовая, 0,5 км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0,5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116,95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2,15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 г.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Строительство автомобильной дороги от автомобильной дороги </w:t>
            </w:r>
            <w:r>
              <w:rPr>
                <w:rFonts w:cs="Times New Roman"/>
                <w:lang w:bidi="ar-SA"/>
              </w:rPr>
              <w:lastRenderedPageBreak/>
              <w:t>«Объездная» до Приморского Комсомола (через Шестой микрорайон), 0,48 км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0,48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2021-2024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68,2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59,2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 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 г.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Ввод в эксплуатацию –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автомобильной дороги к микрорайону «Нагорный» № 1, (0,31 км)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0,31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2021-2024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32,9</w:t>
            </w:r>
          </w:p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0,99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2021-2023 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 г.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Строительство автомобильной дороги к микрорайону «Нагорный»  № 2, (0,4 км),  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0,4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1,38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 г.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(от микрорайона «Садовый» до пассажирского пирса), 0,68 км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0,68 км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2020-2025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82,4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2,29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2020-2023 г. – проектные работы,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2024-2025 – строительные работы.</w:t>
            </w:r>
          </w:p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067370" w:rsidRPr="00A843B5">
        <w:tc>
          <w:tcPr>
            <w:tcW w:w="675" w:type="dxa"/>
            <w:shd w:val="clear" w:color="auto" w:fill="auto"/>
            <w:vAlign w:val="center"/>
          </w:tcPr>
          <w:p w:rsidR="00067370" w:rsidRPr="00A843B5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Pr="00A843B5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Капитальный ремонт здания муниципального автономного учреждения «Дворец Культуры «Звезда»</w:t>
            </w:r>
          </w:p>
        </w:tc>
        <w:tc>
          <w:tcPr>
            <w:tcW w:w="1559" w:type="dxa"/>
            <w:shd w:val="clear" w:color="auto" w:fill="auto"/>
          </w:tcPr>
          <w:p w:rsidR="00067370" w:rsidRPr="00A843B5" w:rsidRDefault="00067370">
            <w:pPr>
              <w:jc w:val="center"/>
              <w:rPr>
                <w:rFonts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067370" w:rsidRPr="00A843B5" w:rsidRDefault="00863CFC">
            <w:pPr>
              <w:jc w:val="center"/>
              <w:rPr>
                <w:rFonts w:cs="Times New Roman"/>
              </w:rPr>
            </w:pPr>
            <w:r w:rsidRPr="00A843B5">
              <w:rPr>
                <w:rFonts w:cs="Times New Roman"/>
                <w:lang w:val="en-US" w:bidi="ar-SA"/>
              </w:rPr>
              <w:t xml:space="preserve">2021-2024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Pr="00A843B5" w:rsidRDefault="00863CFC">
            <w:pPr>
              <w:jc w:val="center"/>
              <w:rPr>
                <w:rFonts w:cs="Times New Roman"/>
                <w:lang w:val="en-US" w:bidi="ar-SA"/>
              </w:rPr>
            </w:pPr>
            <w:r w:rsidRPr="00A843B5">
              <w:rPr>
                <w:rFonts w:cs="Times New Roman"/>
                <w:lang w:val="en-US" w:bidi="ar-SA"/>
              </w:rPr>
              <w:t>481,7</w:t>
            </w:r>
          </w:p>
          <w:p w:rsidR="00067370" w:rsidRPr="00A843B5" w:rsidRDefault="00067370">
            <w:pPr>
              <w:jc w:val="center"/>
              <w:rPr>
                <w:rFonts w:cs="Times New Roman"/>
                <w:lang w:val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67370" w:rsidRPr="00A843B5" w:rsidRDefault="00863CFC">
            <w:pPr>
              <w:jc w:val="center"/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269,1</w:t>
            </w:r>
          </w:p>
        </w:tc>
        <w:tc>
          <w:tcPr>
            <w:tcW w:w="5103" w:type="dxa"/>
            <w:shd w:val="clear" w:color="auto" w:fill="auto"/>
          </w:tcPr>
          <w:p w:rsidR="00067370" w:rsidRPr="00A843B5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2021-2022 – проектные работы,</w:t>
            </w:r>
          </w:p>
          <w:p w:rsidR="00067370" w:rsidRPr="00A843B5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2023-2024 – строительные работы.</w:t>
            </w:r>
          </w:p>
          <w:p w:rsidR="00067370" w:rsidRPr="00A843B5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Ввод в эксплуатацию –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Pr="00A843B5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Pr="00A843B5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Строительство центра культурного развития в г. Большой Камень</w:t>
            </w:r>
          </w:p>
        </w:tc>
        <w:tc>
          <w:tcPr>
            <w:tcW w:w="1559" w:type="dxa"/>
            <w:shd w:val="clear" w:color="auto" w:fill="auto"/>
          </w:tcPr>
          <w:p w:rsidR="00067370" w:rsidRPr="00A843B5" w:rsidRDefault="00067370">
            <w:pPr>
              <w:jc w:val="center"/>
              <w:rPr>
                <w:rFonts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067370" w:rsidRPr="00A843B5" w:rsidRDefault="00863CFC">
            <w:pPr>
              <w:jc w:val="center"/>
              <w:rPr>
                <w:rFonts w:cs="Times New Roman"/>
              </w:rPr>
            </w:pPr>
            <w:r w:rsidRPr="00A843B5">
              <w:rPr>
                <w:rFonts w:cs="Times New Roman"/>
                <w:lang w:val="en-US" w:bidi="ar-SA"/>
              </w:rPr>
              <w:t>2020-202</w:t>
            </w:r>
            <w:r w:rsidRPr="00A843B5">
              <w:rPr>
                <w:rFonts w:cs="Times New Roman"/>
                <w:lang w:bidi="ar-SA"/>
              </w:rPr>
              <w:t>4</w:t>
            </w:r>
            <w:r w:rsidRPr="00A843B5">
              <w:rPr>
                <w:rFonts w:cs="Times New Roman"/>
                <w:lang w:val="en-US" w:bidi="ar-SA"/>
              </w:rPr>
              <w:t xml:space="preserve">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Pr="00A843B5" w:rsidRDefault="00863CFC">
            <w:pPr>
              <w:jc w:val="center"/>
              <w:rPr>
                <w:rFonts w:cs="Times New Roman"/>
              </w:rPr>
            </w:pPr>
            <w:r w:rsidRPr="00A843B5">
              <w:rPr>
                <w:rFonts w:cs="Times New Roman"/>
                <w:lang w:val="en-US" w:bidi="ar-SA"/>
              </w:rPr>
              <w:t>196,8</w:t>
            </w:r>
          </w:p>
        </w:tc>
        <w:tc>
          <w:tcPr>
            <w:tcW w:w="1701" w:type="dxa"/>
            <w:shd w:val="clear" w:color="auto" w:fill="auto"/>
          </w:tcPr>
          <w:p w:rsidR="00067370" w:rsidRPr="00A843B5" w:rsidRDefault="00863CFC">
            <w:pPr>
              <w:jc w:val="center"/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159,38</w:t>
            </w:r>
          </w:p>
        </w:tc>
        <w:tc>
          <w:tcPr>
            <w:tcW w:w="5103" w:type="dxa"/>
            <w:shd w:val="clear" w:color="auto" w:fill="auto"/>
          </w:tcPr>
          <w:p w:rsidR="00067370" w:rsidRPr="00A843B5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2020 – проектные работы,</w:t>
            </w:r>
          </w:p>
          <w:p w:rsidR="00067370" w:rsidRPr="00A843B5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2022-2024 – строительные работы.</w:t>
            </w:r>
          </w:p>
          <w:p w:rsidR="00067370" w:rsidRDefault="00863CFC">
            <w:pPr>
              <w:rPr>
                <w:rFonts w:cs="Times New Roman"/>
              </w:rPr>
            </w:pPr>
            <w:r w:rsidRPr="00A843B5">
              <w:rPr>
                <w:rFonts w:cs="Times New Roman"/>
                <w:lang w:bidi="ar-SA"/>
              </w:rPr>
              <w:t>Ввод в эксплуатацию – 2024 г.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Создание верфи крупнотоннажного судостроения, строительство жилья для сотрудников ССК «Звезда»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10 477 </w:t>
            </w:r>
            <w:proofErr w:type="spellStart"/>
            <w:r>
              <w:rPr>
                <w:rFonts w:cs="Times New Roman"/>
                <w:lang w:bidi="ar-SA"/>
              </w:rPr>
              <w:t>рабоч</w:t>
            </w:r>
            <w:proofErr w:type="spellEnd"/>
            <w:r>
              <w:rPr>
                <w:rFonts w:cs="Times New Roman"/>
                <w:lang w:bidi="ar-SA"/>
              </w:rPr>
              <w:t>. мест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 w:rsidP="00720EEB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2017-202</w:t>
            </w:r>
            <w:r w:rsidR="00720EEB">
              <w:rPr>
                <w:rFonts w:cs="Times New Roman"/>
                <w:lang w:bidi="ar-SA"/>
              </w:rPr>
              <w:t>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307 140,00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173 177,7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ООО «</w:t>
            </w:r>
            <w:proofErr w:type="spellStart"/>
            <w:r>
              <w:rPr>
                <w:rFonts w:cs="Times New Roman"/>
                <w:lang w:val="en-US" w:bidi="ar-SA"/>
              </w:rPr>
              <w:t>Судостроительный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комплекс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«</w:t>
            </w:r>
            <w:proofErr w:type="spellStart"/>
            <w:r>
              <w:rPr>
                <w:rFonts w:cs="Times New Roman"/>
                <w:lang w:val="en-US" w:bidi="ar-SA"/>
              </w:rPr>
              <w:t>Звезда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rPr>
                <w:rFonts w:cs="Times New Roman"/>
                <w:lang w:bidi="ar-SA"/>
              </w:rPr>
              <w:t>«Комплексная программа реконструкц</w:t>
            </w:r>
            <w:proofErr w:type="gramStart"/>
            <w:r>
              <w:rPr>
                <w:rFonts w:cs="Times New Roman"/>
                <w:lang w:bidi="ar-SA"/>
              </w:rPr>
              <w:t>ии АО</w:t>
            </w:r>
            <w:proofErr w:type="gramEnd"/>
            <w:r>
              <w:rPr>
                <w:rFonts w:cs="Times New Roman"/>
                <w:lang w:bidi="ar-SA"/>
              </w:rPr>
              <w:t xml:space="preserve"> «ДВЗ «Звезда»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t>46 объекта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lang w:val="en-US"/>
              </w:rPr>
            </w:pPr>
            <w:r>
              <w:t>2018-202</w:t>
            </w:r>
            <w:r>
              <w:rPr>
                <w:lang w:val="en-US"/>
              </w:rPr>
              <w:t>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t>34 750,00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</w:pPr>
            <w:r>
              <w:t>17 912,6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АО «Дальневосточный завод «Звезда»</w:t>
            </w:r>
          </w:p>
          <w:p w:rsidR="00067370" w:rsidRDefault="00863CFC">
            <w:pPr>
              <w:jc w:val="center"/>
            </w:pPr>
            <w:r>
              <w:t>Обеспечение среднего ремонта ремонт АПЛ-3 и АПЛ-4, ДПЛ и военной техники, восстановление технической готовности и сервисное обслуживание АПЛ, ДПЛ</w:t>
            </w:r>
            <w:proofErr w:type="gramStart"/>
            <w:r>
              <w:t>.И</w:t>
            </w:r>
            <w:proofErr w:type="gramEnd"/>
            <w:r>
              <w:t>П «КПР АО «ДВЗ «Звезда» реализуется по семи проектам, в состав проектов входят - 46 объектов</w:t>
            </w:r>
          </w:p>
          <w:p w:rsidR="00067370" w:rsidRDefault="00863CFC">
            <w:pPr>
              <w:jc w:val="center"/>
            </w:pPr>
            <w:r>
              <w:t xml:space="preserve">Реализация находится под высоким риском </w:t>
            </w:r>
            <w:r>
              <w:lastRenderedPageBreak/>
              <w:t>переноса сроков реализации проекта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t xml:space="preserve">Организация общественного питания сотрудников ООО «ССК «Звезда», ДВЗ «Звезда» по модели </w:t>
            </w:r>
            <w:proofErr w:type="gramStart"/>
            <w:r>
              <w:t>фабрика-кухни</w:t>
            </w:r>
            <w:proofErr w:type="gramEnd"/>
            <w:r>
              <w:t xml:space="preserve"> Большой Камень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t>80 чел.</w:t>
            </w:r>
          </w:p>
          <w:p w:rsidR="00067370" w:rsidRDefault="00863CFC">
            <w:pPr>
              <w:jc w:val="center"/>
            </w:pPr>
            <w:r>
              <w:t>2 500 рационов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</w:pPr>
            <w:r>
              <w:t>2018- 2024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t>2,58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</w:pPr>
            <w:r>
              <w:t>1,84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«Сервис-Восток» 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Плановая загрузка мощностей 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фабрики-кухни – от 2500 рационов в день</w:t>
            </w:r>
          </w:p>
          <w:p w:rsidR="00067370" w:rsidRDefault="00863CFC">
            <w:pPr>
              <w:jc w:val="center"/>
            </w:pPr>
            <w:r>
              <w:t>Реализация находится под высоким риском переноса сроков реализации проекта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«Проект №2: Строительство торгово-административного центра»</w:t>
            </w:r>
          </w:p>
          <w:p w:rsidR="00067370" w:rsidRDefault="00067370">
            <w:pPr>
              <w:rPr>
                <w:rFonts w:cs="Times New Roman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640 кв.м. торговой площади, 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11,76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0,30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ООО «</w:t>
            </w:r>
            <w:proofErr w:type="spellStart"/>
            <w:r>
              <w:rPr>
                <w:rFonts w:cs="Times New Roman"/>
                <w:lang w:val="en-US" w:bidi="ar-SA"/>
              </w:rPr>
              <w:t>Примтехсервис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«Проект №3. Капитальное строительство административного-производственного здания и нестационарного павильона по продаже питьевой воды»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100 кв.м. общая площадь строения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2,20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0,21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</w:t>
            </w:r>
            <w:proofErr w:type="spellStart"/>
            <w:r>
              <w:rPr>
                <w:rFonts w:cs="Times New Roman"/>
                <w:lang w:bidi="ar-SA"/>
              </w:rPr>
              <w:t>Примтехсервис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Объем реализации питьевой воды при выходе на полную мощность 300 тыс. л./мес.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 завода по производству готовых металлических изделий, стеклопластиковой арматуры, солнечных обогревателей, восстановлению деталей с помощью аппарата газодинамического напыления, ремонту и монтажу машин и оборудования»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40 тонн строительных металлических конструкций в месяц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41,36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 w:rsidP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24,</w:t>
            </w:r>
            <w:r w:rsidR="00801BE7">
              <w:rPr>
                <w:rFonts w:cs="Times New Roman"/>
                <w:lang w:bidi="ar-SA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ООО «</w:t>
            </w:r>
            <w:proofErr w:type="spellStart"/>
            <w:r>
              <w:rPr>
                <w:rFonts w:cs="Times New Roman"/>
                <w:lang w:val="en-US" w:bidi="ar-SA"/>
              </w:rPr>
              <w:t>Примтехсервис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«Производственно-логистический комплекс «Большой Камень»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5000 кв.м.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2018-2028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1 231,08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445,1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«Красный Вымпел» 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Складской комплекс площадью 5000 кв.м.; 4 </w:t>
            </w:r>
            <w:proofErr w:type="gramStart"/>
            <w:r>
              <w:rPr>
                <w:rFonts w:cs="Times New Roman"/>
                <w:lang w:bidi="ar-SA"/>
              </w:rPr>
              <w:t>ж/ж</w:t>
            </w:r>
            <w:proofErr w:type="gramEnd"/>
            <w:r>
              <w:rPr>
                <w:rFonts w:cs="Times New Roman"/>
                <w:lang w:bidi="ar-SA"/>
              </w:rPr>
              <w:t xml:space="preserve"> ветки по 750 </w:t>
            </w:r>
            <w:proofErr w:type="spellStart"/>
            <w:r>
              <w:rPr>
                <w:rFonts w:cs="Times New Roman"/>
                <w:lang w:bidi="ar-SA"/>
              </w:rPr>
              <w:t>п.м</w:t>
            </w:r>
            <w:proofErr w:type="spellEnd"/>
            <w:r>
              <w:rPr>
                <w:rFonts w:cs="Times New Roman"/>
                <w:lang w:bidi="ar-SA"/>
              </w:rPr>
              <w:t>.; устройство грузовой контейнерной площадки 180х24.</w:t>
            </w:r>
          </w:p>
        </w:tc>
      </w:tr>
      <w:tr w:rsidR="00067370" w:rsidTr="00801BE7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Многоквартирный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жилой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дом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№ 6»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106 квартир</w:t>
            </w:r>
          </w:p>
        </w:tc>
        <w:tc>
          <w:tcPr>
            <w:tcW w:w="978" w:type="dxa"/>
            <w:shd w:val="clear" w:color="auto" w:fill="auto"/>
          </w:tcPr>
          <w:p w:rsidR="00067370" w:rsidRDefault="00720EEB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2,13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Специализированный застройщик «Визит ДВ»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«Предприятие по производству </w:t>
            </w:r>
            <w:r>
              <w:rPr>
                <w:rFonts w:cs="Times New Roman"/>
                <w:lang w:bidi="ar-SA"/>
              </w:rPr>
              <w:lastRenderedPageBreak/>
              <w:t>технологического электрооборудования в ТОР «Большой Камень»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 xml:space="preserve">офисные </w:t>
            </w:r>
            <w:r>
              <w:rPr>
                <w:rFonts w:cs="Times New Roman"/>
                <w:lang w:bidi="ar-SA"/>
              </w:rPr>
              <w:lastRenderedPageBreak/>
              <w:t>помещения 168 кв.м.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2020-</w:t>
            </w:r>
            <w:r>
              <w:rPr>
                <w:rFonts w:cs="Times New Roman"/>
                <w:lang w:bidi="ar-SA"/>
              </w:rPr>
              <w:lastRenderedPageBreak/>
              <w:t>2024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11,27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11,8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«Восточная Строительная Компания»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 xml:space="preserve">Строительство предприятия по производству технологического электрооборудования </w:t>
            </w:r>
            <w:proofErr w:type="gramStart"/>
            <w:r>
              <w:rPr>
                <w:rFonts w:cs="Times New Roman"/>
                <w:lang w:bidi="ar-SA"/>
              </w:rPr>
              <w:t>до</w:t>
            </w:r>
            <w:proofErr w:type="gramEnd"/>
            <w:r>
              <w:rPr>
                <w:rFonts w:cs="Times New Roman"/>
                <w:lang w:bidi="ar-SA"/>
              </w:rPr>
              <w:t xml:space="preserve"> и выше 1000V на территории ТОСЭР «Большой Камень».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t>Реализация находится под критическим риском переноса сроков реализации проекта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bidi="ar-SA"/>
              </w:rPr>
              <w:t xml:space="preserve"> </w:t>
            </w: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Строительство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гостиницы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120 номеров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2017-2025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1 049,00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 w:rsidP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414,</w:t>
            </w:r>
            <w:r w:rsidR="00801BE7">
              <w:rPr>
                <w:rFonts w:cs="Times New Roman"/>
                <w:lang w:bidi="ar-SA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«Отель </w:t>
            </w:r>
            <w:proofErr w:type="spellStart"/>
            <w:r>
              <w:rPr>
                <w:rFonts w:cs="Times New Roman"/>
                <w:lang w:bidi="ar-SA"/>
              </w:rPr>
              <w:t>Прайд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гостиницы на 185 номеров с эксплуатируемой кровлей, благоустройством территории, строительством гаража.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«Открытие производства горячекатаного профильного проката для судостроительной отрасли, для машиностроительной отрасли и общегражданского строительства»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254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2 558,49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95,83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«РМ-</w:t>
            </w:r>
            <w:proofErr w:type="spellStart"/>
            <w:r>
              <w:rPr>
                <w:rFonts w:cs="Times New Roman"/>
                <w:lang w:bidi="ar-SA"/>
              </w:rPr>
              <w:t>Стил</w:t>
            </w:r>
            <w:proofErr w:type="gramStart"/>
            <w:r>
              <w:rPr>
                <w:rFonts w:cs="Times New Roman"/>
                <w:lang w:bidi="ar-SA"/>
              </w:rPr>
              <w:t>.Д</w:t>
            </w:r>
            <w:proofErr w:type="gramEnd"/>
            <w:r>
              <w:rPr>
                <w:rFonts w:cs="Times New Roman"/>
                <w:lang w:bidi="ar-SA"/>
              </w:rPr>
              <w:t>В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Открытие производства горячекатаного профильного проката для судостроительной отрасли, для машиностроительной отрасли и общегражданского строительства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«Создание </w:t>
            </w:r>
            <w:proofErr w:type="spellStart"/>
            <w:r>
              <w:rPr>
                <w:rFonts w:cs="Times New Roman"/>
                <w:lang w:bidi="ar-SA"/>
              </w:rPr>
              <w:t>рыбоперерабатывающего</w:t>
            </w:r>
            <w:proofErr w:type="spellEnd"/>
            <w:r>
              <w:rPr>
                <w:rFonts w:cs="Times New Roman"/>
                <w:lang w:bidi="ar-SA"/>
              </w:rPr>
              <w:t xml:space="preserve"> комбината по производству консервов и пресервов»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134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67,83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20,65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</w:t>
            </w:r>
            <w:proofErr w:type="spellStart"/>
            <w:r>
              <w:rPr>
                <w:rFonts w:cs="Times New Roman"/>
                <w:lang w:bidi="ar-SA"/>
              </w:rPr>
              <w:t>Рыбоперерабатывающий</w:t>
            </w:r>
            <w:proofErr w:type="spellEnd"/>
            <w:r>
              <w:rPr>
                <w:rFonts w:cs="Times New Roman"/>
                <w:lang w:bidi="ar-SA"/>
              </w:rPr>
              <w:t xml:space="preserve"> комбинат «</w:t>
            </w:r>
            <w:proofErr w:type="spellStart"/>
            <w:r>
              <w:rPr>
                <w:rFonts w:cs="Times New Roman"/>
                <w:lang w:bidi="ar-SA"/>
              </w:rPr>
              <w:t>Большекаменский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Создание </w:t>
            </w:r>
            <w:proofErr w:type="spellStart"/>
            <w:r>
              <w:rPr>
                <w:rFonts w:cs="Times New Roman"/>
                <w:lang w:bidi="ar-SA"/>
              </w:rPr>
              <w:t>рыбоперерабатывающего</w:t>
            </w:r>
            <w:proofErr w:type="spellEnd"/>
            <w:r>
              <w:rPr>
                <w:rFonts w:cs="Times New Roman"/>
                <w:lang w:bidi="ar-SA"/>
              </w:rPr>
              <w:t xml:space="preserve"> комбината по производству консервов и пресервов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 металлургического завода в бухте Суходол Приморского края»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3825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 w:rsidP="00720EEB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</w:t>
            </w:r>
            <w:r w:rsidR="00720EEB">
              <w:rPr>
                <w:rFonts w:cs="Times New Roman"/>
                <w:lang w:bidi="ar-SA"/>
              </w:rPr>
              <w:t>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166 426,0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 w:rsidP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</w:t>
            </w:r>
            <w:r w:rsidR="00801BE7">
              <w:rPr>
                <w:rFonts w:cs="Times New Roman"/>
                <w:lang w:bidi="ar-SA"/>
              </w:rPr>
              <w:t> 210,64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«Приморский металлургический завод»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металлургического завода в бухте Суходол Приморского края производительностью 1,5 миллиона тонн в год, который включает в себя две очереди: Сталепрокатное производство (Прокатный стан 5000), Трубопрокатное производство (Трубный стан)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«Строительство, реконструкция и техническое перевооружение АО «30 СРЗ»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972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10 280,32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21,52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«30 СРЗ»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Создание на базе АО «30 СРЗ» инфраструктуры для выполнения достроечных работ, швартовых и ходовых испытаний, </w:t>
            </w:r>
            <w:r>
              <w:rPr>
                <w:rFonts w:cs="Times New Roman"/>
                <w:lang w:bidi="ar-SA"/>
              </w:rPr>
              <w:lastRenderedPageBreak/>
              <w:t>сервисного и гарантийного ремонта и обслуживание гражданских судов позволит диверсифицировать АО «30 СРЗ» и эффективно организовать межзаводскую кооперацию с ООО «ССК «Звезда».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«Организация производственного комплекса по выполнению электромонтажных и электротехнических работ  в г. Большой Камень»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1 083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 w:rsidP="00720EEB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</w:t>
            </w:r>
            <w:r w:rsidR="00720EEB">
              <w:rPr>
                <w:rFonts w:cs="Times New Roman"/>
                <w:lang w:bidi="ar-SA"/>
              </w:rPr>
              <w:t>9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3 459,26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17,65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Тихоокеанское предприятие «</w:t>
            </w:r>
            <w:proofErr w:type="spellStart"/>
            <w:r>
              <w:rPr>
                <w:rFonts w:cs="Times New Roman"/>
                <w:lang w:bidi="ar-SA"/>
              </w:rPr>
              <w:t>Электрорадиоавтоматика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Производственный план ООО ТП «ЭРА» рассчитывается исходя из выполнения электромонтажных и пусконаладочных работ на объектах ООО «ССК «Звезда» на период до 2032 года.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«Создание предприятия по техническому обслуживанию судов и судового оборудования»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84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2023-2024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5,98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5,63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«ДОНХЭ И ЭНД ТИ </w:t>
            </w:r>
            <w:proofErr w:type="gramStart"/>
            <w:r>
              <w:rPr>
                <w:rFonts w:cs="Times New Roman"/>
                <w:lang w:bidi="ar-SA"/>
              </w:rPr>
              <w:t>РУС</w:t>
            </w:r>
            <w:proofErr w:type="gramEnd"/>
            <w:r>
              <w:rPr>
                <w:rFonts w:cs="Times New Roman"/>
                <w:lang w:bidi="ar-SA"/>
              </w:rPr>
              <w:t>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Проектом предусмотрено создание предприятия, ключевым направлением услуг которого является оказание сервисных,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инжиниринговых, технических</w:t>
            </w:r>
            <w:proofErr w:type="gramStart"/>
            <w:r>
              <w:rPr>
                <w:rFonts w:cs="Times New Roman"/>
                <w:lang w:bidi="ar-SA"/>
              </w:rPr>
              <w:t xml:space="preserve"> ,</w:t>
            </w:r>
            <w:proofErr w:type="gramEnd"/>
            <w:r>
              <w:rPr>
                <w:rFonts w:cs="Times New Roman"/>
                <w:lang w:bidi="ar-SA"/>
              </w:rPr>
              <w:t xml:space="preserve"> кадровых и прочих вспомогательных услуг при постройке судов сжиженного природного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газа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Инвестиционный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проект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«ЖК </w:t>
            </w:r>
            <w:proofErr w:type="spellStart"/>
            <w:r>
              <w:rPr>
                <w:rFonts w:cs="Times New Roman"/>
                <w:lang w:val="en-US" w:bidi="ar-SA"/>
              </w:rPr>
              <w:t>Андреевский</w:t>
            </w:r>
            <w:proofErr w:type="spellEnd"/>
            <w:r>
              <w:rPr>
                <w:rFonts w:cs="Times New Roman"/>
                <w:lang w:val="en-US" w:bidi="ar-SA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 чел.</w:t>
            </w:r>
          </w:p>
          <w:p w:rsidR="009B1407" w:rsidRDefault="009B140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дом № 1: Площадь – 8 218,46 кв.м, в т.ч.: квартир – 4 208,13 кв.м.; нежил</w:t>
            </w:r>
            <w:proofErr w:type="gramStart"/>
            <w:r>
              <w:rPr>
                <w:rFonts w:cs="Times New Roman"/>
                <w:lang w:bidi="ar-SA"/>
              </w:rPr>
              <w:t>.</w:t>
            </w:r>
            <w:proofErr w:type="gramEnd"/>
            <w:r>
              <w:rPr>
                <w:rFonts w:cs="Times New Roman"/>
                <w:lang w:bidi="ar-SA"/>
              </w:rPr>
              <w:t xml:space="preserve"> </w:t>
            </w:r>
            <w:proofErr w:type="gramStart"/>
            <w:r>
              <w:rPr>
                <w:rFonts w:cs="Times New Roman"/>
                <w:lang w:bidi="ar-SA"/>
              </w:rPr>
              <w:t>п</w:t>
            </w:r>
            <w:proofErr w:type="gramEnd"/>
            <w:r>
              <w:rPr>
                <w:rFonts w:cs="Times New Roman"/>
                <w:lang w:bidi="ar-SA"/>
              </w:rPr>
              <w:t>остроек – 465 кв.м.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1 261,25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0,00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 w:rsidRPr="009B1407">
              <w:rPr>
                <w:rFonts w:cs="Times New Roman"/>
                <w:lang w:bidi="ar-SA"/>
              </w:rPr>
              <w:t>ООО «СЗ СИБИНЖИНИРИНГ»</w:t>
            </w:r>
          </w:p>
          <w:p w:rsidR="00C4060A" w:rsidRDefault="00863CFC" w:rsidP="009B140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Инвестиционный проект по строительству двух жилых домов на территории г. Большой Камень по улиц</w:t>
            </w:r>
            <w:r w:rsidR="00C4060A">
              <w:rPr>
                <w:rFonts w:cs="Times New Roman"/>
                <w:lang w:bidi="ar-SA"/>
              </w:rPr>
              <w:t xml:space="preserve">е Андреевская в районе дома </w:t>
            </w:r>
            <w:r w:rsidR="00C4060A" w:rsidRPr="00C4060A">
              <w:rPr>
                <w:rFonts w:cs="Times New Roman"/>
                <w:lang w:bidi="ar-SA"/>
              </w:rPr>
              <w:t>Площадь дома №2 – 12597,04 кв.м., в том числе:</w:t>
            </w:r>
            <w:r w:rsidR="00C4060A">
              <w:rPr>
                <w:rFonts w:cs="Times New Roman"/>
                <w:lang w:bidi="ar-SA"/>
              </w:rPr>
              <w:t xml:space="preserve"> </w:t>
            </w:r>
            <w:r w:rsidR="00C4060A" w:rsidRPr="00C4060A">
              <w:rPr>
                <w:rFonts w:cs="Times New Roman"/>
                <w:lang w:bidi="ar-SA"/>
              </w:rPr>
              <w:t xml:space="preserve">Общая площадь квартир </w:t>
            </w:r>
            <w:proofErr w:type="gramStart"/>
            <w:r w:rsidR="00C4060A" w:rsidRPr="00C4060A">
              <w:rPr>
                <w:rFonts w:cs="Times New Roman"/>
                <w:lang w:bidi="ar-SA"/>
              </w:rPr>
              <w:t>доме</w:t>
            </w:r>
            <w:proofErr w:type="gramEnd"/>
            <w:r w:rsidR="00C4060A" w:rsidRPr="00C4060A">
              <w:rPr>
                <w:rFonts w:cs="Times New Roman"/>
                <w:lang w:bidi="ar-SA"/>
              </w:rPr>
              <w:t xml:space="preserve"> – 7 013,55 кв.м.;</w:t>
            </w:r>
            <w:r w:rsidR="00C4060A">
              <w:rPr>
                <w:rFonts w:cs="Times New Roman"/>
                <w:lang w:bidi="ar-SA"/>
              </w:rPr>
              <w:t xml:space="preserve"> </w:t>
            </w:r>
            <w:r w:rsidR="00C4060A" w:rsidRPr="00C4060A">
              <w:rPr>
                <w:rFonts w:cs="Times New Roman"/>
                <w:lang w:bidi="ar-SA"/>
              </w:rPr>
              <w:t>Общая площадь нежилой недвижимости– 483 кв.м.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Инвестиционный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проект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строительство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гостиницы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64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386,08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3,45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«ЕАЗ СИТИ»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Проект представляет собой строительство и организацию деятельности нового </w:t>
            </w:r>
            <w:r>
              <w:rPr>
                <w:rFonts w:cs="Times New Roman"/>
                <w:lang w:bidi="ar-SA"/>
              </w:rPr>
              <w:lastRenderedPageBreak/>
              <w:t>предприятия размещения – гостиницы категории 5 звезд в г. Большой Камень.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«Строительство современного высокотехнологичного завода по производству </w:t>
            </w:r>
            <w:proofErr w:type="gramStart"/>
            <w:r>
              <w:rPr>
                <w:rFonts w:cs="Times New Roman"/>
                <w:lang w:bidi="ar-SA"/>
              </w:rPr>
              <w:t>сэндвич-панелей</w:t>
            </w:r>
            <w:proofErr w:type="gramEnd"/>
            <w:r>
              <w:rPr>
                <w:rFonts w:cs="Times New Roman"/>
                <w:lang w:bidi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42 тыс. кв.м в год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26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 w:rsidP="00720EEB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</w:t>
            </w:r>
            <w:r w:rsidR="00720EEB">
              <w:rPr>
                <w:rFonts w:cs="Times New Roman"/>
                <w:lang w:bidi="ar-SA"/>
              </w:rPr>
              <w:t>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146,00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«ПТК ЛОТОС»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Проект будет реализован на территор</w:t>
            </w:r>
            <w:proofErr w:type="gramStart"/>
            <w:r>
              <w:rPr>
                <w:rFonts w:cs="Times New Roman"/>
                <w:lang w:bidi="ar-SA"/>
              </w:rPr>
              <w:t>ии ООО</w:t>
            </w:r>
            <w:proofErr w:type="gramEnd"/>
            <w:r>
              <w:rPr>
                <w:rFonts w:cs="Times New Roman"/>
                <w:lang w:bidi="ar-SA"/>
              </w:rPr>
              <w:t xml:space="preserve"> «УКПП Большой Камень»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Контейнерная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площадка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«</w:t>
            </w:r>
            <w:proofErr w:type="spellStart"/>
            <w:r>
              <w:rPr>
                <w:rFonts w:cs="Times New Roman"/>
                <w:lang w:val="en-US" w:bidi="ar-SA"/>
              </w:rPr>
              <w:t>Большой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Камень</w:t>
            </w:r>
            <w:proofErr w:type="spellEnd"/>
            <w:r>
              <w:rPr>
                <w:rFonts w:cs="Times New Roman"/>
                <w:lang w:val="en-US" w:bidi="ar-SA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12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37,18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0,85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«ТЕРМИНАЛ БОЛЬШОЙ КАМЕНЬ»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логистического терминала.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Приобретение техники для погрузо-разгрузочных работ и контейнерной инфраструктуры.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 жилого комплекса в городе Большой Камень, Приморский край»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35,87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 w:rsidP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</w:t>
            </w:r>
            <w:r w:rsidR="00801BE7">
              <w:rPr>
                <w:rFonts w:cs="Times New Roman"/>
                <w:lang w:bidi="ar-SA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«Век»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2-х многоквартирных домов.  Количество квартир – 356.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Общая площадь зданий 26643 кв.м.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«ООО «Управляющая компания «Промышленного парка «Большой Камень»</w:t>
            </w:r>
          </w:p>
        </w:tc>
        <w:tc>
          <w:tcPr>
            <w:tcW w:w="1559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360 чел. Площадь застройки – 17,5 Га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 w:rsidP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</w:t>
            </w:r>
            <w:r w:rsidR="00801BE7">
              <w:rPr>
                <w:rFonts w:cs="Times New Roman"/>
                <w:lang w:bidi="ar-SA"/>
              </w:rPr>
              <w:t>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994,56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501,07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«Управляющая компания промышленного парка «Большой Камень» (ООО УКПП «Большой Камень»)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Создание «Промышленного парка «Большой Камень» на территории городского округа Большой Камень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«Организация производства товарного бетона и железобетонных конструкций на территории ТОР Большой Камень»</w:t>
            </w:r>
          </w:p>
        </w:tc>
        <w:tc>
          <w:tcPr>
            <w:tcW w:w="1559" w:type="dxa"/>
            <w:shd w:val="clear" w:color="auto" w:fill="auto"/>
          </w:tcPr>
          <w:p w:rsidR="00067370" w:rsidRDefault="00067370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2019-2025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85,86</w:t>
            </w:r>
          </w:p>
        </w:tc>
        <w:tc>
          <w:tcPr>
            <w:tcW w:w="1701" w:type="dxa"/>
            <w:shd w:val="clear" w:color="auto" w:fill="auto"/>
          </w:tcPr>
          <w:p w:rsidR="00067370" w:rsidRDefault="00801BE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46,67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r w:rsidRPr="00863CFC">
              <w:rPr>
                <w:rFonts w:cs="Times New Roman"/>
                <w:lang w:bidi="ar-SA"/>
              </w:rPr>
              <w:t>ООО «БЕТТОМАКС»</w:t>
            </w:r>
          </w:p>
          <w:p w:rsidR="00067370" w:rsidRDefault="00863CFC">
            <w:pPr>
              <w:jc w:val="center"/>
              <w:rPr>
                <w:rFonts w:cs="Times New Roman"/>
                <w:lang w:bidi="ar-SA"/>
              </w:rPr>
            </w:pPr>
            <w:proofErr w:type="gramStart"/>
            <w:r>
              <w:rPr>
                <w:rFonts w:cs="Times New Roman"/>
                <w:lang w:bidi="ar-SA"/>
              </w:rPr>
              <w:t>Бизнес-идеей</w:t>
            </w:r>
            <w:proofErr w:type="gramEnd"/>
            <w:r>
              <w:rPr>
                <w:rFonts w:cs="Times New Roman"/>
                <w:lang w:bidi="ar-SA"/>
              </w:rPr>
              <w:t xml:space="preserve"> настоящего проекта является организация производства в г. Большой Камень товарных бетонов при установке и запуске в эксплуатацию бетонного завода. </w:t>
            </w:r>
            <w:r>
              <w:t>Реализация находится под критическим риском переноса сроков реализации проекта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t>Производственный комплекс «</w:t>
            </w:r>
            <w:proofErr w:type="spellStart"/>
            <w:r>
              <w:t>ДИМКо</w:t>
            </w:r>
            <w:proofErr w:type="spellEnd"/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t>150 чел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</w:pPr>
            <w:r>
              <w:t>2023-2025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t>210,00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</w:pPr>
            <w:r>
              <w:t>0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</w:pPr>
            <w:r>
              <w:t>ООО «ДИМКО»</w:t>
            </w:r>
          </w:p>
          <w:p w:rsidR="00067370" w:rsidRDefault="00863CFC">
            <w:pPr>
              <w:jc w:val="center"/>
            </w:pPr>
            <w:r>
              <w:t>Мощность проекта 900 тонн в год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t>Строительство элеватора для приемки и хранения зерна в районе ГО Большой Камень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t>85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</w:pPr>
            <w:r>
              <w:t>2023-2027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t>485,8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</w:pPr>
            <w:r>
              <w:t>0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</w:pPr>
            <w:r>
              <w:t>ООО «ПКЗТ»</w:t>
            </w:r>
          </w:p>
          <w:p w:rsidR="00067370" w:rsidRDefault="00863CFC">
            <w:pPr>
              <w:jc w:val="center"/>
            </w:pPr>
            <w:r>
              <w:t>грузооборот комплекса 3 млн. тонн в год</w:t>
            </w:r>
          </w:p>
        </w:tc>
      </w:tr>
      <w:tr w:rsidR="00067370">
        <w:tc>
          <w:tcPr>
            <w:tcW w:w="675" w:type="dxa"/>
            <w:shd w:val="clear" w:color="auto" w:fill="auto"/>
            <w:vAlign w:val="center"/>
          </w:tcPr>
          <w:p w:rsidR="00067370" w:rsidRDefault="00067370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7370" w:rsidRDefault="00863CFC">
            <w:r>
              <w:t xml:space="preserve">Строительство складского, </w:t>
            </w:r>
            <w:r>
              <w:lastRenderedPageBreak/>
              <w:t>административного и производственного комплекса</w:t>
            </w:r>
          </w:p>
        </w:tc>
        <w:tc>
          <w:tcPr>
            <w:tcW w:w="1559" w:type="dxa"/>
            <w:shd w:val="clear" w:color="auto" w:fill="auto"/>
          </w:tcPr>
          <w:p w:rsidR="00067370" w:rsidRDefault="00863CFC">
            <w:pPr>
              <w:jc w:val="center"/>
            </w:pPr>
            <w:r>
              <w:lastRenderedPageBreak/>
              <w:t>7 чел.</w:t>
            </w:r>
          </w:p>
        </w:tc>
        <w:tc>
          <w:tcPr>
            <w:tcW w:w="978" w:type="dxa"/>
            <w:shd w:val="clear" w:color="auto" w:fill="auto"/>
          </w:tcPr>
          <w:p w:rsidR="00067370" w:rsidRDefault="00863CFC">
            <w:pPr>
              <w:jc w:val="center"/>
            </w:pPr>
            <w:r>
              <w:t>2024-</w:t>
            </w:r>
            <w:r>
              <w:lastRenderedPageBreak/>
              <w:t>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067370" w:rsidRDefault="00863CFC">
            <w:pPr>
              <w:jc w:val="center"/>
            </w:pPr>
            <w:r>
              <w:lastRenderedPageBreak/>
              <w:t>17,33</w:t>
            </w:r>
          </w:p>
        </w:tc>
        <w:tc>
          <w:tcPr>
            <w:tcW w:w="1701" w:type="dxa"/>
            <w:shd w:val="clear" w:color="auto" w:fill="auto"/>
          </w:tcPr>
          <w:p w:rsidR="00067370" w:rsidRDefault="00863CFC">
            <w:pPr>
              <w:jc w:val="center"/>
            </w:pPr>
            <w:r>
              <w:t>0</w:t>
            </w:r>
            <w:r w:rsidR="00801BE7">
              <w:t>,08</w:t>
            </w:r>
          </w:p>
        </w:tc>
        <w:tc>
          <w:tcPr>
            <w:tcW w:w="5103" w:type="dxa"/>
            <w:shd w:val="clear" w:color="auto" w:fill="auto"/>
          </w:tcPr>
          <w:p w:rsidR="00067370" w:rsidRDefault="00863CFC">
            <w:pPr>
              <w:jc w:val="center"/>
            </w:pPr>
            <w:r>
              <w:t>ООО «Перспектива»</w:t>
            </w:r>
          </w:p>
          <w:p w:rsidR="00067370" w:rsidRDefault="00863CFC">
            <w:pPr>
              <w:jc w:val="center"/>
            </w:pPr>
            <w:r>
              <w:lastRenderedPageBreak/>
              <w:t>42 702 тыс. руб. в год при выходе на полную мощность</w:t>
            </w:r>
          </w:p>
        </w:tc>
      </w:tr>
      <w:tr w:rsidR="009B1407">
        <w:tc>
          <w:tcPr>
            <w:tcW w:w="675" w:type="dxa"/>
            <w:shd w:val="clear" w:color="auto" w:fill="auto"/>
            <w:vAlign w:val="center"/>
          </w:tcPr>
          <w:p w:rsidR="009B1407" w:rsidRDefault="009B1407">
            <w:pPr>
              <w:pStyle w:val="aff4"/>
              <w:numPr>
                <w:ilvl w:val="0"/>
                <w:numId w:val="1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B1407" w:rsidRDefault="009B1407">
            <w:r w:rsidRPr="009B1407">
              <w:t xml:space="preserve">Строительство </w:t>
            </w:r>
            <w:proofErr w:type="spellStart"/>
            <w:r w:rsidRPr="009B1407">
              <w:t>логистическо</w:t>
            </w:r>
            <w:proofErr w:type="spellEnd"/>
            <w:r w:rsidRPr="009B1407">
              <w:t>-складского комплекса на территории ТОР «Большой Камень»</w:t>
            </w:r>
          </w:p>
        </w:tc>
        <w:tc>
          <w:tcPr>
            <w:tcW w:w="1559" w:type="dxa"/>
            <w:shd w:val="clear" w:color="auto" w:fill="auto"/>
          </w:tcPr>
          <w:p w:rsidR="009B1407" w:rsidRDefault="00793185">
            <w:pPr>
              <w:jc w:val="center"/>
            </w:pPr>
            <w:r>
              <w:t>34 чел.</w:t>
            </w:r>
          </w:p>
        </w:tc>
        <w:tc>
          <w:tcPr>
            <w:tcW w:w="978" w:type="dxa"/>
            <w:shd w:val="clear" w:color="auto" w:fill="auto"/>
          </w:tcPr>
          <w:p w:rsidR="009B1407" w:rsidRDefault="009B1407">
            <w:pPr>
              <w:jc w:val="center"/>
            </w:pPr>
            <w:r>
              <w:t>2024-2026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9B1407" w:rsidRDefault="00793185">
            <w:pPr>
              <w:jc w:val="center"/>
            </w:pPr>
            <w:r>
              <w:t>1 258,7</w:t>
            </w:r>
          </w:p>
        </w:tc>
        <w:tc>
          <w:tcPr>
            <w:tcW w:w="1701" w:type="dxa"/>
            <w:shd w:val="clear" w:color="auto" w:fill="auto"/>
          </w:tcPr>
          <w:p w:rsidR="009B1407" w:rsidRDefault="00793185">
            <w:pPr>
              <w:jc w:val="center"/>
            </w:pPr>
            <w:r>
              <w:t>0</w:t>
            </w:r>
          </w:p>
        </w:tc>
        <w:tc>
          <w:tcPr>
            <w:tcW w:w="5103" w:type="dxa"/>
            <w:shd w:val="clear" w:color="auto" w:fill="auto"/>
          </w:tcPr>
          <w:p w:rsidR="009B1407" w:rsidRDefault="009B1407">
            <w:pPr>
              <w:jc w:val="center"/>
            </w:pPr>
            <w:r>
              <w:t>ООО «КСР»</w:t>
            </w:r>
          </w:p>
          <w:p w:rsidR="009B1407" w:rsidRDefault="009B1407">
            <w:pPr>
              <w:jc w:val="center"/>
            </w:pPr>
            <w:r w:rsidRPr="009B1407">
              <w:t>Услуги в области складской логистики. Среднегодовой объем выручки 354 600 тыс. руб.</w:t>
            </w:r>
          </w:p>
        </w:tc>
      </w:tr>
    </w:tbl>
    <w:p w:rsidR="00067370" w:rsidRDefault="00067370">
      <w:pPr>
        <w:jc w:val="center"/>
      </w:pPr>
    </w:p>
    <w:p w:rsidR="00067370" w:rsidRDefault="00863CFC">
      <w:r>
        <w:br w:type="page" w:clear="all"/>
      </w:r>
    </w:p>
    <w:p w:rsidR="00067370" w:rsidRDefault="00863C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67370" w:rsidRDefault="0086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67370" w:rsidRDefault="00863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проектов, </w:t>
      </w:r>
    </w:p>
    <w:p w:rsidR="00067370" w:rsidRDefault="00863C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на территории городского округа Большой Камень </w:t>
      </w:r>
    </w:p>
    <w:p w:rsidR="00067370" w:rsidRDefault="00863CF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2025 году</w:t>
      </w:r>
    </w:p>
    <w:p w:rsidR="00067370" w:rsidRDefault="00067370">
      <w:pPr>
        <w:jc w:val="right"/>
      </w:pPr>
    </w:p>
    <w:tbl>
      <w:tblPr>
        <w:tblStyle w:val="ac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978"/>
        <w:gridCol w:w="14"/>
        <w:gridCol w:w="1418"/>
        <w:gridCol w:w="1701"/>
        <w:gridCol w:w="5103"/>
      </w:tblGrid>
      <w:tr w:rsidR="00720EEB" w:rsidTr="00BC2347">
        <w:tc>
          <w:tcPr>
            <w:tcW w:w="675" w:type="dxa"/>
            <w:vMerge w:val="restart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№ </w:t>
            </w:r>
            <w:proofErr w:type="gramStart"/>
            <w:r>
              <w:rPr>
                <w:rFonts w:cs="Times New Roman"/>
                <w:lang w:bidi="ar-SA"/>
              </w:rPr>
              <w:t>п</w:t>
            </w:r>
            <w:proofErr w:type="gramEnd"/>
            <w:r>
              <w:rPr>
                <w:rFonts w:cs="Times New Roman"/>
                <w:lang w:bidi="ar-SA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Параметра проекта (при наличии)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Срок реализации, годы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Объем финансирования проекта, млн. руб.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Примечание</w:t>
            </w:r>
          </w:p>
        </w:tc>
      </w:tr>
      <w:tr w:rsidR="00720EEB" w:rsidTr="00BC2347">
        <w:tc>
          <w:tcPr>
            <w:tcW w:w="675" w:type="dxa"/>
            <w:vMerge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Всего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Освоено</w:t>
            </w:r>
          </w:p>
        </w:tc>
        <w:tc>
          <w:tcPr>
            <w:tcW w:w="5103" w:type="dxa"/>
            <w:vMerge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</w:tr>
      <w:tr w:rsidR="00720EEB" w:rsidTr="00BC2347">
        <w:trPr>
          <w:tblHeader/>
        </w:trPr>
        <w:tc>
          <w:tcPr>
            <w:tcW w:w="675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color w:val="FF0000"/>
                <w:lang w:bidi="ar-SA"/>
              </w:rPr>
            </w:pPr>
            <w:r>
              <w:rPr>
                <w:rFonts w:cs="Times New Roman"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7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школы на 550 мест в микрорайоне «Парковый»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550 мест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2021-2026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1 305,5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5,54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 – 2022 гг.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2025-2026 гг. -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планируется в 2026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200 мест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426,7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6,98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 гг. –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2024-2025гг. -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Ввод в эксплуатацию планируется 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 2025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здания МАУ «Спортивный комплекс» г. Большой Камень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ЕПС 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225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2021-2027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405,5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5,52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гг. -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2026-2027 гг. – строительные работы 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2027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Перевод муниципальных котельных на использование газа (Котельная № 4 по ул. Ольховая) 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проект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bidi="ar-SA"/>
              </w:rPr>
              <w:t xml:space="preserve">2020-2025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57,6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3,25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2020-2021 гг. – проектные работы;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 г. – строительно-монтажные работы.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сетей ливневой канализации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Объём стоков 1 468,25 м3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3 741,8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54,23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2024-2027 гг. –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2027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водоводов (с учетом замены запорной арматуры)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16,18 км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2021-2028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color w:val="FF0000"/>
                <w:lang w:bidi="ar-SA"/>
              </w:rPr>
            </w:pPr>
            <w:r>
              <w:rPr>
                <w:rFonts w:cs="Times New Roman"/>
                <w:lang w:bidi="ar-SA"/>
              </w:rPr>
              <w:t>5269,8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27,72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2021-2023 гг. – проектные работы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2025-2028 гг.-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2028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>
              <w:t>Реконструкция очистных сооружений водоснабжения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36,40 тыс. куб. м/сутки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2020-2027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1 403,8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83,18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r>
              <w:t xml:space="preserve">2020-2021 </w:t>
            </w:r>
            <w:r>
              <w:rPr>
                <w:rFonts w:cs="Times New Roman"/>
                <w:lang w:bidi="ar-SA"/>
              </w:rPr>
              <w:t>– проектные работы</w:t>
            </w:r>
          </w:p>
          <w:p w:rsidR="00720EEB" w:rsidRDefault="00720EEB" w:rsidP="00BC2347">
            <w:r>
              <w:t>2024-2027 – строительные работы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>
              <w:t>Реконструкция очистных сооружений водоотведения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51 тыс.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2020-2027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3 164,5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9,11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r>
              <w:t xml:space="preserve">2020-2021 </w:t>
            </w:r>
            <w:r>
              <w:rPr>
                <w:rFonts w:cs="Times New Roman"/>
                <w:lang w:bidi="ar-SA"/>
              </w:rPr>
              <w:t>– проектные работы</w:t>
            </w:r>
          </w:p>
          <w:p w:rsidR="00720EEB" w:rsidRDefault="00720EEB" w:rsidP="00BC2347">
            <w:r>
              <w:t>2024-2027 – строительные работы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Реконструкция автомобильной дороги общего назначения «Пригородная» (1 этап – Мост № 2 (имеется проектная документация);  2 этап – строительство дороги 4 км) 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Мост №2,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4 км 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2020-2026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1 938,4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129,42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2020-2021 гг. – строительство моста № 2 (1 этап),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2021 -2022 </w:t>
            </w:r>
            <w:proofErr w:type="spellStart"/>
            <w:proofErr w:type="gramStart"/>
            <w:r>
              <w:rPr>
                <w:rFonts w:cs="Times New Roman"/>
                <w:lang w:bidi="ar-SA"/>
              </w:rPr>
              <w:t>гг</w:t>
            </w:r>
            <w:proofErr w:type="spellEnd"/>
            <w:proofErr w:type="gramEnd"/>
            <w:r>
              <w:rPr>
                <w:rFonts w:cs="Times New Roman"/>
                <w:lang w:bidi="ar-SA"/>
              </w:rPr>
              <w:t xml:space="preserve"> - проектные работы по реконструкции а/д Пригородная (2 этап),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2024г. – строительные работы 2 этапа.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2024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«Первомайская - Новомировская»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4,1 км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2021-2027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782,7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5,73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гг. –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2025-2027 гг. –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2027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 (от автомобильной дороги «Объездная»  вдоль микрорайона «Садовый» до строящейся модульно-блочной котельной), 1,5 км.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1,5 км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176,6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4,09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2020-2022 г. –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2024г. –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2024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>
              <w:t>Реконструкция автомобильной дороги ул. Маслакова, 1,089 км.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1,089 км.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2020-2025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197,9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5,7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2020-2023 г. –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2024-2025г. – строительные работы.</w:t>
            </w:r>
          </w:p>
          <w:p w:rsidR="00720EEB" w:rsidRDefault="00720EEB" w:rsidP="00BC2347"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ул. Садовая, 0,5 км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0,5 км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116,95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2,15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г. –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 г. –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Строительство автомобильной дороги к микрорайону «Нагорный»  № 2, (0,4 км),  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0,4 км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2021-2025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1,38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2021-2022 г. –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 г. –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Реконструкция автомобильной дороги (от микрорайона «Садовый» до пассажирского пирса), 0,68 км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0,68 км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2020-2025 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82,4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2,29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2020-2023 г. – проектные работы,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2024-2025 – строительные работы.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Ввод в эксплуатацию – 2025 г.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Создание верфи крупнотоннажного судостроения, строительство жилья для </w:t>
            </w:r>
            <w:r>
              <w:rPr>
                <w:rFonts w:cs="Times New Roman"/>
                <w:lang w:bidi="ar-SA"/>
              </w:rPr>
              <w:lastRenderedPageBreak/>
              <w:t>сотрудников ССК «Звезда»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 xml:space="preserve">10 477 </w:t>
            </w:r>
            <w:proofErr w:type="spellStart"/>
            <w:r>
              <w:rPr>
                <w:rFonts w:cs="Times New Roman"/>
                <w:lang w:bidi="ar-SA"/>
              </w:rPr>
              <w:t>рабоч</w:t>
            </w:r>
            <w:proofErr w:type="spellEnd"/>
            <w:r>
              <w:rPr>
                <w:rFonts w:cs="Times New Roman"/>
                <w:lang w:bidi="ar-SA"/>
              </w:rPr>
              <w:t>. мест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2017-2027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307 140,00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173 177,7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ООО «</w:t>
            </w:r>
            <w:proofErr w:type="spellStart"/>
            <w:r>
              <w:rPr>
                <w:rFonts w:cs="Times New Roman"/>
                <w:lang w:val="en-US" w:bidi="ar-SA"/>
              </w:rPr>
              <w:t>Судостроительный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комплекс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«</w:t>
            </w:r>
            <w:proofErr w:type="spellStart"/>
            <w:r>
              <w:rPr>
                <w:rFonts w:cs="Times New Roman"/>
                <w:lang w:val="en-US" w:bidi="ar-SA"/>
              </w:rPr>
              <w:t>Звезда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>
              <w:rPr>
                <w:rFonts w:cs="Times New Roman"/>
                <w:lang w:bidi="ar-SA"/>
              </w:rPr>
              <w:t>«Комплексная программа реконструкц</w:t>
            </w:r>
            <w:proofErr w:type="gramStart"/>
            <w:r>
              <w:rPr>
                <w:rFonts w:cs="Times New Roman"/>
                <w:lang w:bidi="ar-SA"/>
              </w:rPr>
              <w:t>ии АО</w:t>
            </w:r>
            <w:proofErr w:type="gramEnd"/>
            <w:r>
              <w:rPr>
                <w:rFonts w:cs="Times New Roman"/>
                <w:lang w:bidi="ar-SA"/>
              </w:rPr>
              <w:t xml:space="preserve"> «ДВЗ «Звезда»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46 объекта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lang w:val="en-US"/>
              </w:rPr>
            </w:pPr>
            <w:r>
              <w:t>2018-202</w:t>
            </w:r>
            <w:r>
              <w:rPr>
                <w:lang w:val="en-US"/>
              </w:rPr>
              <w:t>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34 750,00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17 912,6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АО «Дальневосточный завод «Звезда»</w:t>
            </w:r>
          </w:p>
          <w:p w:rsidR="00720EEB" w:rsidRDefault="00720EEB" w:rsidP="00BC2347">
            <w:pPr>
              <w:jc w:val="center"/>
            </w:pPr>
            <w:r>
              <w:t>Обеспечение среднего ремонта ремонт АПЛ-3 и АПЛ-4, ДПЛ и военной техники, восстановление технической готовности и сервисное обслуживание АПЛ, ДПЛ</w:t>
            </w:r>
            <w:proofErr w:type="gramStart"/>
            <w:r>
              <w:t>.И</w:t>
            </w:r>
            <w:proofErr w:type="gramEnd"/>
            <w:r>
              <w:t>П «КПР АО «ДВЗ «Звезда» реализуется по семи проектам, в состав проектов входят - 46 объектов</w:t>
            </w:r>
          </w:p>
          <w:p w:rsidR="00720EEB" w:rsidRDefault="00720EEB" w:rsidP="00BC2347">
            <w:pPr>
              <w:jc w:val="center"/>
            </w:pPr>
            <w:r>
              <w:t>Реализация находится под высоким риском переноса сроков реализации проекта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«Проект №2: Строительство торгово-административного центра»</w:t>
            </w:r>
          </w:p>
          <w:p w:rsidR="00720EEB" w:rsidRDefault="00720EEB" w:rsidP="00BC2347">
            <w:pPr>
              <w:rPr>
                <w:rFonts w:cs="Times New Roman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640 кв.м. торговой площади, 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11,76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0,30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ООО «</w:t>
            </w:r>
            <w:proofErr w:type="spellStart"/>
            <w:r>
              <w:rPr>
                <w:rFonts w:cs="Times New Roman"/>
                <w:lang w:val="en-US" w:bidi="ar-SA"/>
              </w:rPr>
              <w:t>Примтехсервис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«Проект №3. Капитальное строительство административного-производственного здания и нестационарного павильона по продаже питьевой воды»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100 кв.м. общая площадь строения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2,20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0,21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</w:t>
            </w:r>
            <w:proofErr w:type="spellStart"/>
            <w:r>
              <w:rPr>
                <w:rFonts w:cs="Times New Roman"/>
                <w:lang w:bidi="ar-SA"/>
              </w:rPr>
              <w:t>Примтехсервис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Объем реализации питьевой воды при выходе на полную мощность 300 тыс. л./мес.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 завода по производству готовых металлических изделий, стеклопластиковой арматуры, солнечных обогревателей, восстановлению деталей с помощью аппарата газодинамического напыления, ремонту и монтажу машин и оборудования»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40 тонн строительных металлических конструкций в месяц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41,36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24,54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ООО «</w:t>
            </w:r>
            <w:proofErr w:type="spellStart"/>
            <w:r>
              <w:rPr>
                <w:rFonts w:cs="Times New Roman"/>
                <w:lang w:val="en-US" w:bidi="ar-SA"/>
              </w:rPr>
              <w:t>Примтехсервис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«Производственно-логистический комплекс </w:t>
            </w:r>
            <w:r>
              <w:rPr>
                <w:rFonts w:cs="Times New Roman"/>
                <w:lang w:bidi="ar-SA"/>
              </w:rPr>
              <w:lastRenderedPageBreak/>
              <w:t>«Большой Камень»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lastRenderedPageBreak/>
              <w:t>5000 кв.м.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2018-2028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1 231,08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445,1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«Красный Вымпел» 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Складской комплекс площадью 5000 кв.м.; 4 </w:t>
            </w:r>
            <w:proofErr w:type="gramStart"/>
            <w:r>
              <w:rPr>
                <w:rFonts w:cs="Times New Roman"/>
                <w:lang w:bidi="ar-SA"/>
              </w:rPr>
              <w:lastRenderedPageBreak/>
              <w:t>ж/ж</w:t>
            </w:r>
            <w:proofErr w:type="gramEnd"/>
            <w:r>
              <w:rPr>
                <w:rFonts w:cs="Times New Roman"/>
                <w:lang w:bidi="ar-SA"/>
              </w:rPr>
              <w:t xml:space="preserve"> ветки по 750 </w:t>
            </w:r>
            <w:proofErr w:type="spellStart"/>
            <w:r>
              <w:rPr>
                <w:rFonts w:cs="Times New Roman"/>
                <w:lang w:bidi="ar-SA"/>
              </w:rPr>
              <w:t>п.м</w:t>
            </w:r>
            <w:proofErr w:type="spellEnd"/>
            <w:r>
              <w:rPr>
                <w:rFonts w:cs="Times New Roman"/>
                <w:lang w:bidi="ar-SA"/>
              </w:rPr>
              <w:t>.; устройство грузовой контейнерной площадки 180х24.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Многоквартирный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жилой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дом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№ 6»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106 квартир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2,13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Специализированный застройщик «Визит ДВ»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bidi="ar-SA"/>
              </w:rPr>
              <w:t xml:space="preserve"> </w:t>
            </w: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Строительство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гостиницы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120 номеров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2017-2025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1 049,00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414,7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«Отель </w:t>
            </w:r>
            <w:proofErr w:type="spellStart"/>
            <w:r>
              <w:rPr>
                <w:rFonts w:cs="Times New Roman"/>
                <w:lang w:bidi="ar-SA"/>
              </w:rPr>
              <w:t>Прайд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гостиницы на 185 номеров с эксплуатируемой кровлей, благоустройством территории, строительством гаража.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«Открытие производства горячекатаного профильного проката для судостроительной отрасли, для машиностроительной отрасли и общегражданского строительства»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254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2020-2026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2 558,49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95,83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«РМ-</w:t>
            </w:r>
            <w:proofErr w:type="spellStart"/>
            <w:r>
              <w:rPr>
                <w:rFonts w:cs="Times New Roman"/>
                <w:lang w:bidi="ar-SA"/>
              </w:rPr>
              <w:t>Стил</w:t>
            </w:r>
            <w:proofErr w:type="gramStart"/>
            <w:r>
              <w:rPr>
                <w:rFonts w:cs="Times New Roman"/>
                <w:lang w:bidi="ar-SA"/>
              </w:rPr>
              <w:t>.Д</w:t>
            </w:r>
            <w:proofErr w:type="gramEnd"/>
            <w:r>
              <w:rPr>
                <w:rFonts w:cs="Times New Roman"/>
                <w:lang w:bidi="ar-SA"/>
              </w:rPr>
              <w:t>В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Открытие производства горячекатаного профильного проката для судостроительной отрасли, для машиностроительной отрасли и общегражданского строительства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«Создание </w:t>
            </w:r>
            <w:proofErr w:type="spellStart"/>
            <w:r>
              <w:rPr>
                <w:rFonts w:cs="Times New Roman"/>
                <w:lang w:bidi="ar-SA"/>
              </w:rPr>
              <w:t>рыбоперерабатывающего</w:t>
            </w:r>
            <w:proofErr w:type="spellEnd"/>
            <w:r>
              <w:rPr>
                <w:rFonts w:cs="Times New Roman"/>
                <w:lang w:bidi="ar-SA"/>
              </w:rPr>
              <w:t xml:space="preserve"> комбината по производству консервов и пресервов»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134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67,83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20,65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ООО </w:t>
            </w:r>
            <w:proofErr w:type="spellStart"/>
            <w:r>
              <w:rPr>
                <w:rFonts w:cs="Times New Roman"/>
                <w:lang w:bidi="ar-SA"/>
              </w:rPr>
              <w:t>Рыбоперерабатывающий</w:t>
            </w:r>
            <w:proofErr w:type="spellEnd"/>
            <w:r>
              <w:rPr>
                <w:rFonts w:cs="Times New Roman"/>
                <w:lang w:bidi="ar-SA"/>
              </w:rPr>
              <w:t xml:space="preserve"> комбинат «</w:t>
            </w:r>
            <w:proofErr w:type="spellStart"/>
            <w:r>
              <w:rPr>
                <w:rFonts w:cs="Times New Roman"/>
                <w:lang w:bidi="ar-SA"/>
              </w:rPr>
              <w:t>Большекаменский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Создание </w:t>
            </w:r>
            <w:proofErr w:type="spellStart"/>
            <w:r>
              <w:rPr>
                <w:rFonts w:cs="Times New Roman"/>
                <w:lang w:bidi="ar-SA"/>
              </w:rPr>
              <w:t>рыбоперерабатывающего</w:t>
            </w:r>
            <w:proofErr w:type="spellEnd"/>
            <w:r>
              <w:rPr>
                <w:rFonts w:cs="Times New Roman"/>
                <w:lang w:bidi="ar-SA"/>
              </w:rPr>
              <w:t xml:space="preserve"> комбината по производству консервов и пресервов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 металлургического завода в бухте Суходол Приморского края»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3825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166 426,0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1 210,64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«Приморский металлургический завод»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металлургического завода в бухте Суходол Приморского края производительностью 1,5 миллиона тонн в год, который включает в себя две очереди: Сталепрокатное производство (Прокатный стан 5000), Трубопрокатное производство (Трубный стан)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«Строительство, реконструкция и техническое перевооружение АО «30 СРЗ»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972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10 280,32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21,52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«30 СРЗ»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Создание на базе АО «30 СРЗ» инфраструктуры для выполнения достроечных работ, швартовых и ходовых испытаний, сервисного и гарантийного ремонта и обслуживание гражданских судов позволит </w:t>
            </w:r>
            <w:r>
              <w:rPr>
                <w:rFonts w:cs="Times New Roman"/>
                <w:lang w:bidi="ar-SA"/>
              </w:rPr>
              <w:lastRenderedPageBreak/>
              <w:t>диверсифицировать АО «30 СРЗ» и эффективно организовать межзаводскую кооперацию с ООО «ССК «Звезда».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«Организация производственного комплекса по выполнению электромонтажных и электротехнических работ  в г. Большой Камень»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1 083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2022-2029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3 459,26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17,65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Тихоокеанское предприятие «</w:t>
            </w:r>
            <w:proofErr w:type="spellStart"/>
            <w:r>
              <w:rPr>
                <w:rFonts w:cs="Times New Roman"/>
                <w:lang w:bidi="ar-SA"/>
              </w:rPr>
              <w:t>Электрорадиоавтоматика</w:t>
            </w:r>
            <w:proofErr w:type="spellEnd"/>
            <w:r>
              <w:rPr>
                <w:rFonts w:cs="Times New Roman"/>
                <w:lang w:bidi="ar-SA"/>
              </w:rPr>
              <w:t>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Производственный план ООО ТП «ЭРА» рассчитывается исходя из выполнения электромонтажных и пусконаладочных работ на объектах ООО «ССК «Звезда» на период до 2032 года.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Pr="00284388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Инвестиционный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проект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«ЖК </w:t>
            </w:r>
            <w:proofErr w:type="spellStart"/>
            <w:r>
              <w:rPr>
                <w:rFonts w:cs="Times New Roman"/>
                <w:lang w:val="en-US" w:bidi="ar-SA"/>
              </w:rPr>
              <w:t>Андреевский</w:t>
            </w:r>
            <w:proofErr w:type="spellEnd"/>
            <w:r>
              <w:rPr>
                <w:rFonts w:cs="Times New Roman"/>
                <w:lang w:val="en-US" w:bidi="ar-SA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 чел.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дом № 1: Площадь – 8 218,46 кв.м, в т.ч.: квартир – 4 208,13 кв.м.; нежил</w:t>
            </w:r>
            <w:proofErr w:type="gramStart"/>
            <w:r>
              <w:rPr>
                <w:rFonts w:cs="Times New Roman"/>
                <w:lang w:bidi="ar-SA"/>
              </w:rPr>
              <w:t>.</w:t>
            </w:r>
            <w:proofErr w:type="gramEnd"/>
            <w:r>
              <w:rPr>
                <w:rFonts w:cs="Times New Roman"/>
                <w:lang w:bidi="ar-SA"/>
              </w:rPr>
              <w:t xml:space="preserve"> </w:t>
            </w:r>
            <w:proofErr w:type="gramStart"/>
            <w:r>
              <w:rPr>
                <w:rFonts w:cs="Times New Roman"/>
                <w:lang w:bidi="ar-SA"/>
              </w:rPr>
              <w:t>п</w:t>
            </w:r>
            <w:proofErr w:type="gramEnd"/>
            <w:r>
              <w:rPr>
                <w:rFonts w:cs="Times New Roman"/>
                <w:lang w:bidi="ar-SA"/>
              </w:rPr>
              <w:t>остроек – 465 кв.м.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1 261,25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0,00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 w:rsidRPr="009B1407">
              <w:rPr>
                <w:rFonts w:cs="Times New Roman"/>
                <w:lang w:bidi="ar-SA"/>
              </w:rPr>
              <w:t>ООО «СЗ СИБИНЖИНИРИНГ»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Инвестиционный проект по строительству двух жилых домов на территории г. Большой Камень по улице Андреевская в районе дома </w:t>
            </w:r>
            <w:r w:rsidRPr="00C4060A">
              <w:rPr>
                <w:rFonts w:cs="Times New Roman"/>
                <w:lang w:bidi="ar-SA"/>
              </w:rPr>
              <w:t>Площадь дома №2 – 12597,04 кв.м., в том числе:</w:t>
            </w:r>
            <w:r>
              <w:rPr>
                <w:rFonts w:cs="Times New Roman"/>
                <w:lang w:bidi="ar-SA"/>
              </w:rPr>
              <w:t xml:space="preserve"> </w:t>
            </w:r>
            <w:r w:rsidRPr="00C4060A">
              <w:rPr>
                <w:rFonts w:cs="Times New Roman"/>
                <w:lang w:bidi="ar-SA"/>
              </w:rPr>
              <w:t xml:space="preserve">Общая площадь квартир </w:t>
            </w:r>
            <w:proofErr w:type="gramStart"/>
            <w:r w:rsidRPr="00C4060A">
              <w:rPr>
                <w:rFonts w:cs="Times New Roman"/>
                <w:lang w:bidi="ar-SA"/>
              </w:rPr>
              <w:t>доме</w:t>
            </w:r>
            <w:proofErr w:type="gramEnd"/>
            <w:r w:rsidRPr="00C4060A">
              <w:rPr>
                <w:rFonts w:cs="Times New Roman"/>
                <w:lang w:bidi="ar-SA"/>
              </w:rPr>
              <w:t xml:space="preserve"> – 7 013,55 кв.м.;</w:t>
            </w:r>
            <w:r>
              <w:rPr>
                <w:rFonts w:cs="Times New Roman"/>
                <w:lang w:bidi="ar-SA"/>
              </w:rPr>
              <w:t xml:space="preserve"> </w:t>
            </w:r>
            <w:r w:rsidRPr="00C4060A">
              <w:rPr>
                <w:rFonts w:cs="Times New Roman"/>
                <w:lang w:bidi="ar-SA"/>
              </w:rPr>
              <w:t>Общая площадь нежилой недвижимости– 483 кв.м.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Инвестиционный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проект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строительство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гостиницы</w:t>
            </w:r>
            <w:proofErr w:type="spellEnd"/>
            <w:r>
              <w:rPr>
                <w:rFonts w:cs="Times New Roman"/>
                <w:lang w:val="en-US" w:bidi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64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2021-2026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386,08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3,45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«ЕАЗ СИТИ»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Проект представляет собой строительство и организацию деятельности нового предприятия размещения – гостиницы категории 5 звезд в г. Большой Камень.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«Строительство современного высокотехнологичного завода по производству </w:t>
            </w:r>
            <w:proofErr w:type="gramStart"/>
            <w:r>
              <w:rPr>
                <w:rFonts w:cs="Times New Roman"/>
                <w:lang w:bidi="ar-SA"/>
              </w:rPr>
              <w:t>сэндвич-панелей</w:t>
            </w:r>
            <w:proofErr w:type="gramEnd"/>
            <w:r>
              <w:rPr>
                <w:rFonts w:cs="Times New Roman"/>
                <w:lang w:bidi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42 тыс. кв.м в год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26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146,00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«ПТК ЛОТОС»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Проект будет реализован на территор</w:t>
            </w:r>
            <w:proofErr w:type="gramStart"/>
            <w:r>
              <w:rPr>
                <w:rFonts w:cs="Times New Roman"/>
                <w:lang w:bidi="ar-SA"/>
              </w:rPr>
              <w:t>ии ООО</w:t>
            </w:r>
            <w:proofErr w:type="gramEnd"/>
            <w:r>
              <w:rPr>
                <w:rFonts w:cs="Times New Roman"/>
                <w:lang w:bidi="ar-SA"/>
              </w:rPr>
              <w:t xml:space="preserve"> «УКПП Большой Камень»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val="en-US" w:bidi="ar-SA"/>
              </w:rPr>
            </w:pPr>
            <w:r>
              <w:rPr>
                <w:rFonts w:cs="Times New Roman"/>
                <w:lang w:val="en-US" w:bidi="ar-SA"/>
              </w:rPr>
              <w:t>«</w:t>
            </w:r>
            <w:proofErr w:type="spellStart"/>
            <w:r>
              <w:rPr>
                <w:rFonts w:cs="Times New Roman"/>
                <w:lang w:val="en-US" w:bidi="ar-SA"/>
              </w:rPr>
              <w:t>Контейнерная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площадка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«</w:t>
            </w:r>
            <w:proofErr w:type="spellStart"/>
            <w:r>
              <w:rPr>
                <w:rFonts w:cs="Times New Roman"/>
                <w:lang w:val="en-US" w:bidi="ar-SA"/>
              </w:rPr>
              <w:t>Большой</w:t>
            </w:r>
            <w:proofErr w:type="spellEnd"/>
            <w:r>
              <w:rPr>
                <w:rFonts w:cs="Times New Roman"/>
                <w:lang w:val="en-US" w:bidi="ar-SA"/>
              </w:rPr>
              <w:t xml:space="preserve"> </w:t>
            </w:r>
            <w:proofErr w:type="spellStart"/>
            <w:r>
              <w:rPr>
                <w:rFonts w:cs="Times New Roman"/>
                <w:lang w:val="en-US" w:bidi="ar-SA"/>
              </w:rPr>
              <w:t>Камень</w:t>
            </w:r>
            <w:proofErr w:type="spellEnd"/>
            <w:r>
              <w:rPr>
                <w:rFonts w:cs="Times New Roman"/>
                <w:lang w:val="en-US" w:bidi="ar-SA"/>
              </w:rPr>
              <w:t>»»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12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37,18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0,85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«ТЕРМИНАЛ БОЛЬШОЙ КАМЕНЬ»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логистического терминала.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Приобретение техники для погрузо-разгрузочных работ и контейнерной инфраструктуры.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«Строительство жилого комплекса в городе Большой Камень, Приморский край»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6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2023-2027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35,87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0,10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«Век»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Строительство 2-х многоквартирных домов.  Количество квартир – 356.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Общая площадь зданий 26643 кв.м.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«ООО «Управляющая компания «Промышленного парка «Большой Камень»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360 чел. Площадь застройки – 17,5 Га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2022-2026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994,56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501,07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ООО «Управляющая компания промышленного парка «Большой Камень» (ООО УКПП «Большой Камень»)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Создание «Промышленного парка «Большой Камень» на территории городского округа Большой Камень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pPr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 xml:space="preserve"> «Организация производства товарного бетона и железобетонных конструкций на территории ТОР Большой Камень»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2019-2025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85,86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>
              <w:rPr>
                <w:rFonts w:cs="Times New Roman"/>
                <w:lang w:bidi="ar-SA"/>
              </w:rPr>
              <w:t>46,67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r w:rsidRPr="00863CFC">
              <w:rPr>
                <w:rFonts w:cs="Times New Roman"/>
                <w:lang w:bidi="ar-SA"/>
              </w:rPr>
              <w:t>ООО «БЕТТОМАКС»</w:t>
            </w:r>
          </w:p>
          <w:p w:rsidR="00720EEB" w:rsidRDefault="00720EEB" w:rsidP="00BC2347">
            <w:pPr>
              <w:jc w:val="center"/>
              <w:rPr>
                <w:rFonts w:cs="Times New Roman"/>
                <w:lang w:bidi="ar-SA"/>
              </w:rPr>
            </w:pPr>
            <w:proofErr w:type="gramStart"/>
            <w:r>
              <w:rPr>
                <w:rFonts w:cs="Times New Roman"/>
                <w:lang w:bidi="ar-SA"/>
              </w:rPr>
              <w:t>Бизнес-идеей</w:t>
            </w:r>
            <w:proofErr w:type="gramEnd"/>
            <w:r>
              <w:rPr>
                <w:rFonts w:cs="Times New Roman"/>
                <w:lang w:bidi="ar-SA"/>
              </w:rPr>
              <w:t xml:space="preserve"> настоящего проекта является организация производства в г. Большой Камень товарных бетонов при установке и запуске в эксплуатацию бетонного завода. </w:t>
            </w:r>
            <w:r>
              <w:t>Реализация находится под критическим риском переноса сроков реализации проекта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>
              <w:t>Производственный комплекс «</w:t>
            </w:r>
            <w:proofErr w:type="spellStart"/>
            <w:r>
              <w:t>ДИМКо</w:t>
            </w:r>
            <w:proofErr w:type="spellEnd"/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150 чел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2023-2025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210,00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ООО «ДИМКО»</w:t>
            </w:r>
          </w:p>
          <w:p w:rsidR="00720EEB" w:rsidRDefault="00720EEB" w:rsidP="00BC2347">
            <w:pPr>
              <w:jc w:val="center"/>
            </w:pPr>
            <w:r>
              <w:t>Мощность проекта 900 тонн в год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>
              <w:t>Строительство элеватора для приемки и хранения зерна в районе ГО Большой Камень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85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2023-2027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485,8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ООО «ПКЗТ»</w:t>
            </w:r>
          </w:p>
          <w:p w:rsidR="00720EEB" w:rsidRDefault="00720EEB" w:rsidP="00BC2347">
            <w:pPr>
              <w:jc w:val="center"/>
            </w:pPr>
            <w:r>
              <w:t>грузооборот комплекса 3 млн. тонн в год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>
              <w:t>Строительство складского, административного и производственного комплекса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7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2024-2025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17,33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0,08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ООО «Перспектива»</w:t>
            </w:r>
          </w:p>
          <w:p w:rsidR="00720EEB" w:rsidRDefault="00720EEB" w:rsidP="00BC2347">
            <w:pPr>
              <w:jc w:val="center"/>
            </w:pPr>
            <w:r>
              <w:t>42 702 тыс. руб. в год при выходе на полную мощность</w:t>
            </w:r>
          </w:p>
        </w:tc>
      </w:tr>
      <w:tr w:rsidR="00720EEB" w:rsidTr="00BC2347">
        <w:tc>
          <w:tcPr>
            <w:tcW w:w="675" w:type="dxa"/>
            <w:shd w:val="clear" w:color="auto" w:fill="auto"/>
            <w:vAlign w:val="center"/>
          </w:tcPr>
          <w:p w:rsidR="00720EEB" w:rsidRDefault="00720EEB" w:rsidP="00720EEB">
            <w:pPr>
              <w:pStyle w:val="aff4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720EEB" w:rsidRDefault="00720EEB" w:rsidP="00BC2347">
            <w:r w:rsidRPr="009B1407">
              <w:t xml:space="preserve">Строительство </w:t>
            </w:r>
            <w:proofErr w:type="spellStart"/>
            <w:r w:rsidRPr="009B1407">
              <w:t>логистическо</w:t>
            </w:r>
            <w:proofErr w:type="spellEnd"/>
            <w:r w:rsidRPr="009B1407">
              <w:t>-складского комплекса на территории ТОР «Большой Камень»</w:t>
            </w:r>
          </w:p>
        </w:tc>
        <w:tc>
          <w:tcPr>
            <w:tcW w:w="1559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34 чел.</w:t>
            </w:r>
          </w:p>
        </w:tc>
        <w:tc>
          <w:tcPr>
            <w:tcW w:w="978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2024-2026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1 258,7</w:t>
            </w:r>
          </w:p>
        </w:tc>
        <w:tc>
          <w:tcPr>
            <w:tcW w:w="1701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0</w:t>
            </w:r>
          </w:p>
        </w:tc>
        <w:tc>
          <w:tcPr>
            <w:tcW w:w="5103" w:type="dxa"/>
            <w:shd w:val="clear" w:color="auto" w:fill="auto"/>
          </w:tcPr>
          <w:p w:rsidR="00720EEB" w:rsidRDefault="00720EEB" w:rsidP="00BC2347">
            <w:pPr>
              <w:jc w:val="center"/>
            </w:pPr>
            <w:r>
              <w:t>ООО «КСР»</w:t>
            </w:r>
          </w:p>
          <w:p w:rsidR="00720EEB" w:rsidRDefault="00720EEB" w:rsidP="00BC2347">
            <w:pPr>
              <w:jc w:val="center"/>
            </w:pPr>
            <w:r w:rsidRPr="009B1407">
              <w:t>Услуги в области складской логистики. Среднегодовой объем выручки 354 600 тыс. руб.</w:t>
            </w:r>
          </w:p>
        </w:tc>
      </w:tr>
    </w:tbl>
    <w:p w:rsidR="00067370" w:rsidRDefault="00067370">
      <w:pPr>
        <w:jc w:val="center"/>
      </w:pPr>
    </w:p>
    <w:p w:rsidR="00067370" w:rsidRDefault="00863CFC" w:rsidP="00720EEB">
      <w:pPr>
        <w:jc w:val="center"/>
      </w:pPr>
      <w:r>
        <w:t>__________________________</w:t>
      </w:r>
    </w:p>
    <w:sectPr w:rsidR="00067370">
      <w:pgSz w:w="16838" w:h="11906" w:orient="landscape"/>
      <w:pgMar w:top="1701" w:right="992" w:bottom="851" w:left="992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E7" w:rsidRDefault="00801BE7">
      <w:pPr>
        <w:pStyle w:val="16"/>
      </w:pPr>
      <w:r>
        <w:separator/>
      </w:r>
    </w:p>
  </w:endnote>
  <w:endnote w:type="continuationSeparator" w:id="0">
    <w:p w:rsidR="00801BE7" w:rsidRDefault="00801BE7">
      <w:pPr>
        <w:pStyle w:val="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3" w:usb1="00000000" w:usb2="00000000" w:usb3="00000000" w:csb0="00000001" w:csb1="00000000"/>
  </w:font>
  <w:font w:name="Lohit Hindi">
    <w:charset w:val="00"/>
    <w:family w:val="auto"/>
    <w:pitch w:val="default"/>
  </w:font>
  <w:font w:name="Liberation Sa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E7" w:rsidRDefault="00801BE7">
      <w:pPr>
        <w:pStyle w:val="16"/>
      </w:pPr>
      <w:r>
        <w:separator/>
      </w:r>
    </w:p>
  </w:footnote>
  <w:footnote w:type="continuationSeparator" w:id="0">
    <w:p w:rsidR="00801BE7" w:rsidRDefault="00801BE7">
      <w:pPr>
        <w:pStyle w:val="1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418"/>
    <w:multiLevelType w:val="hybridMultilevel"/>
    <w:tmpl w:val="3A06575E"/>
    <w:lvl w:ilvl="0" w:tplc="3D5A2BB2">
      <w:start w:val="1"/>
      <w:numFmt w:val="decimal"/>
      <w:lvlText w:val="%1."/>
      <w:lvlJc w:val="left"/>
      <w:pPr>
        <w:ind w:left="695" w:hanging="360"/>
      </w:pPr>
    </w:lvl>
    <w:lvl w:ilvl="1" w:tplc="D7C400CA">
      <w:start w:val="1"/>
      <w:numFmt w:val="lowerLetter"/>
      <w:lvlText w:val="%2."/>
      <w:lvlJc w:val="left"/>
      <w:pPr>
        <w:ind w:left="1415" w:hanging="360"/>
      </w:pPr>
    </w:lvl>
    <w:lvl w:ilvl="2" w:tplc="922E6026">
      <w:start w:val="1"/>
      <w:numFmt w:val="lowerRoman"/>
      <w:lvlText w:val="%3."/>
      <w:lvlJc w:val="right"/>
      <w:pPr>
        <w:ind w:left="2135" w:hanging="180"/>
      </w:pPr>
    </w:lvl>
    <w:lvl w:ilvl="3" w:tplc="28B278C0">
      <w:start w:val="1"/>
      <w:numFmt w:val="decimal"/>
      <w:lvlText w:val="%4."/>
      <w:lvlJc w:val="left"/>
      <w:pPr>
        <w:ind w:left="2855" w:hanging="360"/>
      </w:pPr>
    </w:lvl>
    <w:lvl w:ilvl="4" w:tplc="C8F4CF86">
      <w:start w:val="1"/>
      <w:numFmt w:val="lowerLetter"/>
      <w:lvlText w:val="%5."/>
      <w:lvlJc w:val="left"/>
      <w:pPr>
        <w:ind w:left="3575" w:hanging="360"/>
      </w:pPr>
    </w:lvl>
    <w:lvl w:ilvl="5" w:tplc="E4FEA364">
      <w:start w:val="1"/>
      <w:numFmt w:val="lowerRoman"/>
      <w:lvlText w:val="%6."/>
      <w:lvlJc w:val="right"/>
      <w:pPr>
        <w:ind w:left="4295" w:hanging="180"/>
      </w:pPr>
    </w:lvl>
    <w:lvl w:ilvl="6" w:tplc="9BCA0BA0">
      <w:start w:val="1"/>
      <w:numFmt w:val="decimal"/>
      <w:lvlText w:val="%7."/>
      <w:lvlJc w:val="left"/>
      <w:pPr>
        <w:ind w:left="5015" w:hanging="360"/>
      </w:pPr>
    </w:lvl>
    <w:lvl w:ilvl="7" w:tplc="4C805EFC">
      <w:start w:val="1"/>
      <w:numFmt w:val="lowerLetter"/>
      <w:lvlText w:val="%8."/>
      <w:lvlJc w:val="left"/>
      <w:pPr>
        <w:ind w:left="5735" w:hanging="360"/>
      </w:pPr>
    </w:lvl>
    <w:lvl w:ilvl="8" w:tplc="6764CD56">
      <w:start w:val="1"/>
      <w:numFmt w:val="lowerRoman"/>
      <w:lvlText w:val="%9."/>
      <w:lvlJc w:val="right"/>
      <w:pPr>
        <w:ind w:left="6455" w:hanging="180"/>
      </w:pPr>
    </w:lvl>
  </w:abstractNum>
  <w:abstractNum w:abstractNumId="1">
    <w:nsid w:val="0A92274C"/>
    <w:multiLevelType w:val="hybridMultilevel"/>
    <w:tmpl w:val="B2E2FAF8"/>
    <w:lvl w:ilvl="0" w:tplc="7E9CC482">
      <w:start w:val="1"/>
      <w:numFmt w:val="decimal"/>
      <w:lvlText w:val="%1."/>
      <w:lvlJc w:val="left"/>
      <w:pPr>
        <w:ind w:left="1440" w:hanging="360"/>
      </w:pPr>
    </w:lvl>
    <w:lvl w:ilvl="1" w:tplc="40EE5CE4">
      <w:start w:val="1"/>
      <w:numFmt w:val="lowerLetter"/>
      <w:lvlText w:val="%2."/>
      <w:lvlJc w:val="left"/>
      <w:pPr>
        <w:ind w:left="2160" w:hanging="360"/>
      </w:pPr>
    </w:lvl>
    <w:lvl w:ilvl="2" w:tplc="F9DAB39C">
      <w:start w:val="1"/>
      <w:numFmt w:val="lowerRoman"/>
      <w:lvlText w:val="%3."/>
      <w:lvlJc w:val="right"/>
      <w:pPr>
        <w:ind w:left="2880" w:hanging="180"/>
      </w:pPr>
    </w:lvl>
    <w:lvl w:ilvl="3" w:tplc="0A605848">
      <w:start w:val="1"/>
      <w:numFmt w:val="decimal"/>
      <w:lvlText w:val="%4."/>
      <w:lvlJc w:val="left"/>
      <w:pPr>
        <w:ind w:left="3600" w:hanging="360"/>
      </w:pPr>
    </w:lvl>
    <w:lvl w:ilvl="4" w:tplc="3CBEA09E">
      <w:start w:val="1"/>
      <w:numFmt w:val="lowerLetter"/>
      <w:lvlText w:val="%5."/>
      <w:lvlJc w:val="left"/>
      <w:pPr>
        <w:ind w:left="4320" w:hanging="360"/>
      </w:pPr>
    </w:lvl>
    <w:lvl w:ilvl="5" w:tplc="724EBF30">
      <w:start w:val="1"/>
      <w:numFmt w:val="lowerRoman"/>
      <w:lvlText w:val="%6."/>
      <w:lvlJc w:val="right"/>
      <w:pPr>
        <w:ind w:left="5040" w:hanging="180"/>
      </w:pPr>
    </w:lvl>
    <w:lvl w:ilvl="6" w:tplc="0A34D0B6">
      <w:start w:val="1"/>
      <w:numFmt w:val="decimal"/>
      <w:lvlText w:val="%7."/>
      <w:lvlJc w:val="left"/>
      <w:pPr>
        <w:ind w:left="5760" w:hanging="360"/>
      </w:pPr>
    </w:lvl>
    <w:lvl w:ilvl="7" w:tplc="8E84E33A">
      <w:start w:val="1"/>
      <w:numFmt w:val="lowerLetter"/>
      <w:lvlText w:val="%8."/>
      <w:lvlJc w:val="left"/>
      <w:pPr>
        <w:ind w:left="6480" w:hanging="360"/>
      </w:pPr>
    </w:lvl>
    <w:lvl w:ilvl="8" w:tplc="DF320B9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E137E"/>
    <w:multiLevelType w:val="hybridMultilevel"/>
    <w:tmpl w:val="FBC44F30"/>
    <w:lvl w:ilvl="0" w:tplc="672A1BFA">
      <w:start w:val="1"/>
      <w:numFmt w:val="decimal"/>
      <w:lvlText w:val="%1."/>
      <w:lvlJc w:val="left"/>
      <w:pPr>
        <w:ind w:left="360" w:hanging="360"/>
      </w:pPr>
    </w:lvl>
    <w:lvl w:ilvl="1" w:tplc="8D8828C0">
      <w:start w:val="1"/>
      <w:numFmt w:val="lowerLetter"/>
      <w:lvlText w:val="%2."/>
      <w:lvlJc w:val="left"/>
      <w:pPr>
        <w:ind w:left="1080" w:hanging="360"/>
      </w:pPr>
    </w:lvl>
    <w:lvl w:ilvl="2" w:tplc="95D45312">
      <w:start w:val="1"/>
      <w:numFmt w:val="lowerRoman"/>
      <w:lvlText w:val="%3."/>
      <w:lvlJc w:val="right"/>
      <w:pPr>
        <w:ind w:left="1800" w:hanging="180"/>
      </w:pPr>
    </w:lvl>
    <w:lvl w:ilvl="3" w:tplc="3E8CCC8E">
      <w:start w:val="1"/>
      <w:numFmt w:val="decimal"/>
      <w:lvlText w:val="%4."/>
      <w:lvlJc w:val="left"/>
      <w:pPr>
        <w:ind w:left="2520" w:hanging="360"/>
      </w:pPr>
    </w:lvl>
    <w:lvl w:ilvl="4" w:tplc="20060DF8">
      <w:start w:val="1"/>
      <w:numFmt w:val="lowerLetter"/>
      <w:lvlText w:val="%5."/>
      <w:lvlJc w:val="left"/>
      <w:pPr>
        <w:ind w:left="3240" w:hanging="360"/>
      </w:pPr>
    </w:lvl>
    <w:lvl w:ilvl="5" w:tplc="424CBE60">
      <w:start w:val="1"/>
      <w:numFmt w:val="lowerRoman"/>
      <w:lvlText w:val="%6."/>
      <w:lvlJc w:val="right"/>
      <w:pPr>
        <w:ind w:left="3960" w:hanging="180"/>
      </w:pPr>
    </w:lvl>
    <w:lvl w:ilvl="6" w:tplc="FA64791C">
      <w:start w:val="1"/>
      <w:numFmt w:val="decimal"/>
      <w:lvlText w:val="%7."/>
      <w:lvlJc w:val="left"/>
      <w:pPr>
        <w:ind w:left="4680" w:hanging="360"/>
      </w:pPr>
    </w:lvl>
    <w:lvl w:ilvl="7" w:tplc="9FC6DEB4">
      <w:start w:val="1"/>
      <w:numFmt w:val="lowerLetter"/>
      <w:lvlText w:val="%8."/>
      <w:lvlJc w:val="left"/>
      <w:pPr>
        <w:ind w:left="5400" w:hanging="360"/>
      </w:pPr>
    </w:lvl>
    <w:lvl w:ilvl="8" w:tplc="2D347DD6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4508"/>
    <w:multiLevelType w:val="hybridMultilevel"/>
    <w:tmpl w:val="1F6AA864"/>
    <w:lvl w:ilvl="0" w:tplc="7ACC46EC">
      <w:start w:val="1"/>
      <w:numFmt w:val="decimal"/>
      <w:lvlText w:val="%1."/>
      <w:lvlJc w:val="left"/>
      <w:pPr>
        <w:ind w:left="720" w:hanging="360"/>
      </w:pPr>
    </w:lvl>
    <w:lvl w:ilvl="1" w:tplc="623C0D0A">
      <w:start w:val="1"/>
      <w:numFmt w:val="lowerLetter"/>
      <w:lvlText w:val="%2."/>
      <w:lvlJc w:val="left"/>
      <w:pPr>
        <w:ind w:left="1440" w:hanging="360"/>
      </w:pPr>
    </w:lvl>
    <w:lvl w:ilvl="2" w:tplc="BC4E9BD0">
      <w:start w:val="1"/>
      <w:numFmt w:val="lowerRoman"/>
      <w:lvlText w:val="%3."/>
      <w:lvlJc w:val="right"/>
      <w:pPr>
        <w:ind w:left="2160" w:hanging="180"/>
      </w:pPr>
    </w:lvl>
    <w:lvl w:ilvl="3" w:tplc="20A83298">
      <w:start w:val="1"/>
      <w:numFmt w:val="decimal"/>
      <w:lvlText w:val="%4."/>
      <w:lvlJc w:val="left"/>
      <w:pPr>
        <w:ind w:left="2880" w:hanging="360"/>
      </w:pPr>
    </w:lvl>
    <w:lvl w:ilvl="4" w:tplc="62F27B94">
      <w:start w:val="1"/>
      <w:numFmt w:val="lowerLetter"/>
      <w:lvlText w:val="%5."/>
      <w:lvlJc w:val="left"/>
      <w:pPr>
        <w:ind w:left="3600" w:hanging="360"/>
      </w:pPr>
    </w:lvl>
    <w:lvl w:ilvl="5" w:tplc="41CEFFA4">
      <w:start w:val="1"/>
      <w:numFmt w:val="lowerRoman"/>
      <w:lvlText w:val="%6."/>
      <w:lvlJc w:val="right"/>
      <w:pPr>
        <w:ind w:left="4320" w:hanging="180"/>
      </w:pPr>
    </w:lvl>
    <w:lvl w:ilvl="6" w:tplc="030AF1A0">
      <w:start w:val="1"/>
      <w:numFmt w:val="decimal"/>
      <w:lvlText w:val="%7."/>
      <w:lvlJc w:val="left"/>
      <w:pPr>
        <w:ind w:left="5040" w:hanging="360"/>
      </w:pPr>
    </w:lvl>
    <w:lvl w:ilvl="7" w:tplc="4F304EAA">
      <w:start w:val="1"/>
      <w:numFmt w:val="lowerLetter"/>
      <w:lvlText w:val="%8."/>
      <w:lvlJc w:val="left"/>
      <w:pPr>
        <w:ind w:left="5760" w:hanging="360"/>
      </w:pPr>
    </w:lvl>
    <w:lvl w:ilvl="8" w:tplc="464AD3B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36452"/>
    <w:multiLevelType w:val="hybridMultilevel"/>
    <w:tmpl w:val="BF92E398"/>
    <w:lvl w:ilvl="0" w:tplc="CFC8C710">
      <w:start w:val="1"/>
      <w:numFmt w:val="decimal"/>
      <w:lvlText w:val="%1."/>
      <w:lvlJc w:val="left"/>
      <w:pPr>
        <w:ind w:left="2748" w:hanging="1308"/>
      </w:pPr>
      <w:rPr>
        <w:rFonts w:hint="default"/>
        <w:sz w:val="28"/>
      </w:rPr>
    </w:lvl>
    <w:lvl w:ilvl="1" w:tplc="323A5914">
      <w:start w:val="1"/>
      <w:numFmt w:val="lowerLetter"/>
      <w:lvlText w:val="%2."/>
      <w:lvlJc w:val="left"/>
      <w:pPr>
        <w:ind w:left="2160" w:hanging="360"/>
      </w:pPr>
    </w:lvl>
    <w:lvl w:ilvl="2" w:tplc="D90666D8">
      <w:start w:val="1"/>
      <w:numFmt w:val="lowerRoman"/>
      <w:lvlText w:val="%3."/>
      <w:lvlJc w:val="right"/>
      <w:pPr>
        <w:ind w:left="2880" w:hanging="180"/>
      </w:pPr>
    </w:lvl>
    <w:lvl w:ilvl="3" w:tplc="F0FEEEEC">
      <w:start w:val="1"/>
      <w:numFmt w:val="decimal"/>
      <w:lvlText w:val="%4."/>
      <w:lvlJc w:val="left"/>
      <w:pPr>
        <w:ind w:left="3600" w:hanging="360"/>
      </w:pPr>
    </w:lvl>
    <w:lvl w:ilvl="4" w:tplc="722C7432">
      <w:start w:val="1"/>
      <w:numFmt w:val="lowerLetter"/>
      <w:lvlText w:val="%5."/>
      <w:lvlJc w:val="left"/>
      <w:pPr>
        <w:ind w:left="4320" w:hanging="360"/>
      </w:pPr>
    </w:lvl>
    <w:lvl w:ilvl="5" w:tplc="2C262A52">
      <w:start w:val="1"/>
      <w:numFmt w:val="lowerRoman"/>
      <w:lvlText w:val="%6."/>
      <w:lvlJc w:val="right"/>
      <w:pPr>
        <w:ind w:left="5040" w:hanging="180"/>
      </w:pPr>
    </w:lvl>
    <w:lvl w:ilvl="6" w:tplc="F32470CC">
      <w:start w:val="1"/>
      <w:numFmt w:val="decimal"/>
      <w:lvlText w:val="%7."/>
      <w:lvlJc w:val="left"/>
      <w:pPr>
        <w:ind w:left="5760" w:hanging="360"/>
      </w:pPr>
    </w:lvl>
    <w:lvl w:ilvl="7" w:tplc="CCFC6EC2">
      <w:start w:val="1"/>
      <w:numFmt w:val="lowerLetter"/>
      <w:lvlText w:val="%8."/>
      <w:lvlJc w:val="left"/>
      <w:pPr>
        <w:ind w:left="6480" w:hanging="360"/>
      </w:pPr>
    </w:lvl>
    <w:lvl w:ilvl="8" w:tplc="7E7CE55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A40BF2"/>
    <w:multiLevelType w:val="hybridMultilevel"/>
    <w:tmpl w:val="F550C790"/>
    <w:lvl w:ilvl="0" w:tplc="8770789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05FCD70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F0D6DDBC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288CD51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03A656B8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3A7401C4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2200AA2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 w:tplc="62FCC64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 w:tplc="715C75C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>
    <w:nsid w:val="367D1F04"/>
    <w:multiLevelType w:val="multilevel"/>
    <w:tmpl w:val="B9AEDAA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7">
    <w:nsid w:val="3A4F2A05"/>
    <w:multiLevelType w:val="hybridMultilevel"/>
    <w:tmpl w:val="6FEAFF34"/>
    <w:lvl w:ilvl="0" w:tplc="25580314">
      <w:start w:val="1"/>
      <w:numFmt w:val="decimal"/>
      <w:lvlText w:val="%1."/>
      <w:lvlJc w:val="left"/>
      <w:pPr>
        <w:ind w:left="2028" w:hanging="1308"/>
      </w:pPr>
      <w:rPr>
        <w:rFonts w:hint="default"/>
        <w:sz w:val="28"/>
      </w:rPr>
    </w:lvl>
    <w:lvl w:ilvl="1" w:tplc="5B344954">
      <w:start w:val="1"/>
      <w:numFmt w:val="lowerLetter"/>
      <w:lvlText w:val="%2."/>
      <w:lvlJc w:val="left"/>
      <w:pPr>
        <w:ind w:left="1800" w:hanging="360"/>
      </w:pPr>
    </w:lvl>
    <w:lvl w:ilvl="2" w:tplc="B408227C">
      <w:start w:val="1"/>
      <w:numFmt w:val="lowerRoman"/>
      <w:lvlText w:val="%3."/>
      <w:lvlJc w:val="right"/>
      <w:pPr>
        <w:ind w:left="2520" w:hanging="180"/>
      </w:pPr>
    </w:lvl>
    <w:lvl w:ilvl="3" w:tplc="72F82EB2">
      <w:start w:val="1"/>
      <w:numFmt w:val="decimal"/>
      <w:lvlText w:val="%4."/>
      <w:lvlJc w:val="left"/>
      <w:pPr>
        <w:ind w:left="3240" w:hanging="360"/>
      </w:pPr>
    </w:lvl>
    <w:lvl w:ilvl="4" w:tplc="EC340C2C">
      <w:start w:val="1"/>
      <w:numFmt w:val="lowerLetter"/>
      <w:lvlText w:val="%5."/>
      <w:lvlJc w:val="left"/>
      <w:pPr>
        <w:ind w:left="3960" w:hanging="360"/>
      </w:pPr>
    </w:lvl>
    <w:lvl w:ilvl="5" w:tplc="432658BE">
      <w:start w:val="1"/>
      <w:numFmt w:val="lowerRoman"/>
      <w:lvlText w:val="%6."/>
      <w:lvlJc w:val="right"/>
      <w:pPr>
        <w:ind w:left="4680" w:hanging="180"/>
      </w:pPr>
    </w:lvl>
    <w:lvl w:ilvl="6" w:tplc="E39EE18C">
      <w:start w:val="1"/>
      <w:numFmt w:val="decimal"/>
      <w:lvlText w:val="%7."/>
      <w:lvlJc w:val="left"/>
      <w:pPr>
        <w:ind w:left="5400" w:hanging="360"/>
      </w:pPr>
    </w:lvl>
    <w:lvl w:ilvl="7" w:tplc="6FD8485A">
      <w:start w:val="1"/>
      <w:numFmt w:val="lowerLetter"/>
      <w:lvlText w:val="%8."/>
      <w:lvlJc w:val="left"/>
      <w:pPr>
        <w:ind w:left="6120" w:hanging="360"/>
      </w:pPr>
    </w:lvl>
    <w:lvl w:ilvl="8" w:tplc="15662CC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B5D1A"/>
    <w:multiLevelType w:val="hybridMultilevel"/>
    <w:tmpl w:val="EE0826BA"/>
    <w:lvl w:ilvl="0" w:tplc="11C8909A">
      <w:start w:val="1"/>
      <w:numFmt w:val="decimal"/>
      <w:lvlText w:val="%1."/>
      <w:lvlJc w:val="left"/>
      <w:pPr>
        <w:ind w:left="720" w:hanging="360"/>
      </w:pPr>
    </w:lvl>
    <w:lvl w:ilvl="1" w:tplc="DB3AE0BE">
      <w:start w:val="1"/>
      <w:numFmt w:val="lowerLetter"/>
      <w:lvlText w:val="%2."/>
      <w:lvlJc w:val="left"/>
      <w:pPr>
        <w:ind w:left="1440" w:hanging="360"/>
      </w:pPr>
    </w:lvl>
    <w:lvl w:ilvl="2" w:tplc="6DFCD032">
      <w:start w:val="1"/>
      <w:numFmt w:val="lowerRoman"/>
      <w:lvlText w:val="%3."/>
      <w:lvlJc w:val="right"/>
      <w:pPr>
        <w:ind w:left="2160" w:hanging="180"/>
      </w:pPr>
    </w:lvl>
    <w:lvl w:ilvl="3" w:tplc="C62C1FC6">
      <w:start w:val="1"/>
      <w:numFmt w:val="decimal"/>
      <w:lvlText w:val="%4."/>
      <w:lvlJc w:val="left"/>
      <w:pPr>
        <w:ind w:left="2880" w:hanging="360"/>
      </w:pPr>
    </w:lvl>
    <w:lvl w:ilvl="4" w:tplc="302C5DB0">
      <w:start w:val="1"/>
      <w:numFmt w:val="lowerLetter"/>
      <w:lvlText w:val="%5."/>
      <w:lvlJc w:val="left"/>
      <w:pPr>
        <w:ind w:left="3600" w:hanging="360"/>
      </w:pPr>
    </w:lvl>
    <w:lvl w:ilvl="5" w:tplc="AC56CCCC">
      <w:start w:val="1"/>
      <w:numFmt w:val="lowerRoman"/>
      <w:lvlText w:val="%6."/>
      <w:lvlJc w:val="right"/>
      <w:pPr>
        <w:ind w:left="4320" w:hanging="180"/>
      </w:pPr>
    </w:lvl>
    <w:lvl w:ilvl="6" w:tplc="56B860DE">
      <w:start w:val="1"/>
      <w:numFmt w:val="decimal"/>
      <w:lvlText w:val="%7."/>
      <w:lvlJc w:val="left"/>
      <w:pPr>
        <w:ind w:left="5040" w:hanging="360"/>
      </w:pPr>
    </w:lvl>
    <w:lvl w:ilvl="7" w:tplc="85105C86">
      <w:start w:val="1"/>
      <w:numFmt w:val="lowerLetter"/>
      <w:lvlText w:val="%8."/>
      <w:lvlJc w:val="left"/>
      <w:pPr>
        <w:ind w:left="5760" w:hanging="360"/>
      </w:pPr>
    </w:lvl>
    <w:lvl w:ilvl="8" w:tplc="EF46FB5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B7E1D"/>
    <w:multiLevelType w:val="hybridMultilevel"/>
    <w:tmpl w:val="CF2EC742"/>
    <w:lvl w:ilvl="0" w:tplc="CB6EF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26D7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87B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CE99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6AA19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9346FC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4A5E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A3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AA35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254FA"/>
    <w:multiLevelType w:val="hybridMultilevel"/>
    <w:tmpl w:val="710C4EC8"/>
    <w:lvl w:ilvl="0" w:tplc="D228C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187F16">
      <w:start w:val="1"/>
      <w:numFmt w:val="lowerLetter"/>
      <w:lvlText w:val="%2."/>
      <w:lvlJc w:val="left"/>
      <w:pPr>
        <w:ind w:left="1105" w:hanging="360"/>
      </w:pPr>
    </w:lvl>
    <w:lvl w:ilvl="2" w:tplc="EB5A5898">
      <w:start w:val="1"/>
      <w:numFmt w:val="lowerRoman"/>
      <w:lvlText w:val="%3."/>
      <w:lvlJc w:val="right"/>
      <w:pPr>
        <w:ind w:left="1825" w:hanging="180"/>
      </w:pPr>
    </w:lvl>
    <w:lvl w:ilvl="3" w:tplc="1D2A1D54">
      <w:start w:val="1"/>
      <w:numFmt w:val="decimal"/>
      <w:lvlText w:val="%4."/>
      <w:lvlJc w:val="left"/>
      <w:pPr>
        <w:ind w:left="2545" w:hanging="360"/>
      </w:pPr>
    </w:lvl>
    <w:lvl w:ilvl="4" w:tplc="8468308C">
      <w:start w:val="1"/>
      <w:numFmt w:val="lowerLetter"/>
      <w:lvlText w:val="%5."/>
      <w:lvlJc w:val="left"/>
      <w:pPr>
        <w:ind w:left="3265" w:hanging="360"/>
      </w:pPr>
    </w:lvl>
    <w:lvl w:ilvl="5" w:tplc="E196B6E6">
      <w:start w:val="1"/>
      <w:numFmt w:val="lowerRoman"/>
      <w:lvlText w:val="%6."/>
      <w:lvlJc w:val="right"/>
      <w:pPr>
        <w:ind w:left="3985" w:hanging="180"/>
      </w:pPr>
    </w:lvl>
    <w:lvl w:ilvl="6" w:tplc="1AB636CA">
      <w:start w:val="1"/>
      <w:numFmt w:val="decimal"/>
      <w:lvlText w:val="%7."/>
      <w:lvlJc w:val="left"/>
      <w:pPr>
        <w:ind w:left="4705" w:hanging="360"/>
      </w:pPr>
    </w:lvl>
    <w:lvl w:ilvl="7" w:tplc="4A1A1A36">
      <w:start w:val="1"/>
      <w:numFmt w:val="lowerLetter"/>
      <w:lvlText w:val="%8."/>
      <w:lvlJc w:val="left"/>
      <w:pPr>
        <w:ind w:left="5425" w:hanging="360"/>
      </w:pPr>
    </w:lvl>
    <w:lvl w:ilvl="8" w:tplc="00DC6EE4">
      <w:start w:val="1"/>
      <w:numFmt w:val="lowerRoman"/>
      <w:lvlText w:val="%9."/>
      <w:lvlJc w:val="right"/>
      <w:pPr>
        <w:ind w:left="6145" w:hanging="180"/>
      </w:pPr>
    </w:lvl>
  </w:abstractNum>
  <w:abstractNum w:abstractNumId="11">
    <w:nsid w:val="4F6C34F3"/>
    <w:multiLevelType w:val="hybridMultilevel"/>
    <w:tmpl w:val="04744A54"/>
    <w:lvl w:ilvl="0" w:tplc="02C6D46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272E7E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E3C6A9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E3A60A1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0CE38E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F550930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D76611D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B19677A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1EB447A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2">
    <w:nsid w:val="5D733C17"/>
    <w:multiLevelType w:val="hybridMultilevel"/>
    <w:tmpl w:val="0A0E306A"/>
    <w:lvl w:ilvl="0" w:tplc="A5703B4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A689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B432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98C5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DCBE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EA1D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9C7D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F20C1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F801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817444"/>
    <w:multiLevelType w:val="hybridMultilevel"/>
    <w:tmpl w:val="3E6E5AF2"/>
    <w:lvl w:ilvl="0" w:tplc="47A28EB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98AA5AD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994048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D4C859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C1B6DA1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969C5DE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39493A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C4326C4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5DD062B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5EC02864"/>
    <w:multiLevelType w:val="hybridMultilevel"/>
    <w:tmpl w:val="5DE21CCC"/>
    <w:lvl w:ilvl="0" w:tplc="5938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86734"/>
    <w:multiLevelType w:val="hybridMultilevel"/>
    <w:tmpl w:val="E584834C"/>
    <w:lvl w:ilvl="0" w:tplc="59160AA6">
      <w:start w:val="1"/>
      <w:numFmt w:val="decimal"/>
      <w:lvlText w:val="%1."/>
      <w:lvlJc w:val="left"/>
      <w:pPr>
        <w:ind w:left="720" w:hanging="360"/>
      </w:pPr>
    </w:lvl>
    <w:lvl w:ilvl="1" w:tplc="05D62494">
      <w:start w:val="1"/>
      <w:numFmt w:val="lowerLetter"/>
      <w:lvlText w:val="%2."/>
      <w:lvlJc w:val="left"/>
      <w:pPr>
        <w:ind w:left="1440" w:hanging="360"/>
      </w:pPr>
    </w:lvl>
    <w:lvl w:ilvl="2" w:tplc="8BC2F540">
      <w:start w:val="1"/>
      <w:numFmt w:val="lowerRoman"/>
      <w:lvlText w:val="%3."/>
      <w:lvlJc w:val="right"/>
      <w:pPr>
        <w:ind w:left="2160" w:hanging="180"/>
      </w:pPr>
    </w:lvl>
    <w:lvl w:ilvl="3" w:tplc="3168BCA0">
      <w:start w:val="1"/>
      <w:numFmt w:val="decimal"/>
      <w:lvlText w:val="%4."/>
      <w:lvlJc w:val="left"/>
      <w:pPr>
        <w:ind w:left="2880" w:hanging="360"/>
      </w:pPr>
    </w:lvl>
    <w:lvl w:ilvl="4" w:tplc="B8C4AC64">
      <w:start w:val="1"/>
      <w:numFmt w:val="lowerLetter"/>
      <w:lvlText w:val="%5."/>
      <w:lvlJc w:val="left"/>
      <w:pPr>
        <w:ind w:left="3600" w:hanging="360"/>
      </w:pPr>
    </w:lvl>
    <w:lvl w:ilvl="5" w:tplc="015C630E">
      <w:start w:val="1"/>
      <w:numFmt w:val="lowerRoman"/>
      <w:lvlText w:val="%6."/>
      <w:lvlJc w:val="right"/>
      <w:pPr>
        <w:ind w:left="4320" w:hanging="180"/>
      </w:pPr>
    </w:lvl>
    <w:lvl w:ilvl="6" w:tplc="64EC0D60">
      <w:start w:val="1"/>
      <w:numFmt w:val="decimal"/>
      <w:lvlText w:val="%7."/>
      <w:lvlJc w:val="left"/>
      <w:pPr>
        <w:ind w:left="5040" w:hanging="360"/>
      </w:pPr>
    </w:lvl>
    <w:lvl w:ilvl="7" w:tplc="94ECB8A2">
      <w:start w:val="1"/>
      <w:numFmt w:val="lowerLetter"/>
      <w:lvlText w:val="%8."/>
      <w:lvlJc w:val="left"/>
      <w:pPr>
        <w:ind w:left="5760" w:hanging="360"/>
      </w:pPr>
    </w:lvl>
    <w:lvl w:ilvl="8" w:tplc="BA22325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8464D"/>
    <w:multiLevelType w:val="hybridMultilevel"/>
    <w:tmpl w:val="886E855E"/>
    <w:lvl w:ilvl="0" w:tplc="D602AD66">
      <w:start w:val="1"/>
      <w:numFmt w:val="decimal"/>
      <w:lvlText w:val="%1."/>
      <w:lvlJc w:val="left"/>
      <w:pPr>
        <w:ind w:left="720" w:hanging="360"/>
      </w:pPr>
    </w:lvl>
    <w:lvl w:ilvl="1" w:tplc="D02CB4DA">
      <w:start w:val="1"/>
      <w:numFmt w:val="lowerLetter"/>
      <w:lvlText w:val="%2."/>
      <w:lvlJc w:val="left"/>
      <w:pPr>
        <w:ind w:left="1440" w:hanging="360"/>
      </w:pPr>
    </w:lvl>
    <w:lvl w:ilvl="2" w:tplc="B24CADB6">
      <w:start w:val="1"/>
      <w:numFmt w:val="lowerRoman"/>
      <w:lvlText w:val="%3."/>
      <w:lvlJc w:val="right"/>
      <w:pPr>
        <w:ind w:left="2160" w:hanging="180"/>
      </w:pPr>
    </w:lvl>
    <w:lvl w:ilvl="3" w:tplc="BFFA4BE6">
      <w:start w:val="1"/>
      <w:numFmt w:val="decimal"/>
      <w:lvlText w:val="%4."/>
      <w:lvlJc w:val="left"/>
      <w:pPr>
        <w:ind w:left="2880" w:hanging="360"/>
      </w:pPr>
    </w:lvl>
    <w:lvl w:ilvl="4" w:tplc="15E68F66">
      <w:start w:val="1"/>
      <w:numFmt w:val="lowerLetter"/>
      <w:lvlText w:val="%5."/>
      <w:lvlJc w:val="left"/>
      <w:pPr>
        <w:ind w:left="3600" w:hanging="360"/>
      </w:pPr>
    </w:lvl>
    <w:lvl w:ilvl="5" w:tplc="DBCCBA08">
      <w:start w:val="1"/>
      <w:numFmt w:val="lowerRoman"/>
      <w:lvlText w:val="%6."/>
      <w:lvlJc w:val="right"/>
      <w:pPr>
        <w:ind w:left="4320" w:hanging="180"/>
      </w:pPr>
    </w:lvl>
    <w:lvl w:ilvl="6" w:tplc="464668EA">
      <w:start w:val="1"/>
      <w:numFmt w:val="decimal"/>
      <w:lvlText w:val="%7."/>
      <w:lvlJc w:val="left"/>
      <w:pPr>
        <w:ind w:left="5040" w:hanging="360"/>
      </w:pPr>
    </w:lvl>
    <w:lvl w:ilvl="7" w:tplc="4A0ABD8C">
      <w:start w:val="1"/>
      <w:numFmt w:val="lowerLetter"/>
      <w:lvlText w:val="%8."/>
      <w:lvlJc w:val="left"/>
      <w:pPr>
        <w:ind w:left="5760" w:hanging="360"/>
      </w:pPr>
    </w:lvl>
    <w:lvl w:ilvl="8" w:tplc="3FF4ECF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C45E8"/>
    <w:multiLevelType w:val="hybridMultilevel"/>
    <w:tmpl w:val="38A22E92"/>
    <w:lvl w:ilvl="0" w:tplc="EB06D54A">
      <w:start w:val="1"/>
      <w:numFmt w:val="decimal"/>
      <w:lvlText w:val="%1."/>
      <w:lvlJc w:val="left"/>
      <w:pPr>
        <w:ind w:left="720" w:hanging="360"/>
      </w:pPr>
    </w:lvl>
    <w:lvl w:ilvl="1" w:tplc="F37A4A54">
      <w:start w:val="1"/>
      <w:numFmt w:val="lowerLetter"/>
      <w:lvlText w:val="%2."/>
      <w:lvlJc w:val="left"/>
      <w:pPr>
        <w:ind w:left="1440" w:hanging="360"/>
      </w:pPr>
    </w:lvl>
    <w:lvl w:ilvl="2" w:tplc="F34065D6">
      <w:start w:val="1"/>
      <w:numFmt w:val="lowerRoman"/>
      <w:lvlText w:val="%3."/>
      <w:lvlJc w:val="right"/>
      <w:pPr>
        <w:ind w:left="2160" w:hanging="180"/>
      </w:pPr>
    </w:lvl>
    <w:lvl w:ilvl="3" w:tplc="185E4926">
      <w:start w:val="1"/>
      <w:numFmt w:val="decimal"/>
      <w:lvlText w:val="%4."/>
      <w:lvlJc w:val="left"/>
      <w:pPr>
        <w:ind w:left="2880" w:hanging="360"/>
      </w:pPr>
    </w:lvl>
    <w:lvl w:ilvl="4" w:tplc="A07093D8">
      <w:start w:val="1"/>
      <w:numFmt w:val="lowerLetter"/>
      <w:lvlText w:val="%5."/>
      <w:lvlJc w:val="left"/>
      <w:pPr>
        <w:ind w:left="3600" w:hanging="360"/>
      </w:pPr>
    </w:lvl>
    <w:lvl w:ilvl="5" w:tplc="4D3C5814">
      <w:start w:val="1"/>
      <w:numFmt w:val="lowerRoman"/>
      <w:lvlText w:val="%6."/>
      <w:lvlJc w:val="right"/>
      <w:pPr>
        <w:ind w:left="4320" w:hanging="180"/>
      </w:pPr>
    </w:lvl>
    <w:lvl w:ilvl="6" w:tplc="920C5144">
      <w:start w:val="1"/>
      <w:numFmt w:val="decimal"/>
      <w:lvlText w:val="%7."/>
      <w:lvlJc w:val="left"/>
      <w:pPr>
        <w:ind w:left="5040" w:hanging="360"/>
      </w:pPr>
    </w:lvl>
    <w:lvl w:ilvl="7" w:tplc="F3828CAE">
      <w:start w:val="1"/>
      <w:numFmt w:val="lowerLetter"/>
      <w:lvlText w:val="%8."/>
      <w:lvlJc w:val="left"/>
      <w:pPr>
        <w:ind w:left="5760" w:hanging="360"/>
      </w:pPr>
    </w:lvl>
    <w:lvl w:ilvl="8" w:tplc="8056FA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17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70"/>
    <w:rsid w:val="00067370"/>
    <w:rsid w:val="000B71EC"/>
    <w:rsid w:val="00284388"/>
    <w:rsid w:val="00414171"/>
    <w:rsid w:val="006379D1"/>
    <w:rsid w:val="00720EEB"/>
    <w:rsid w:val="00793185"/>
    <w:rsid w:val="00801BE7"/>
    <w:rsid w:val="00863CFC"/>
    <w:rsid w:val="009B1407"/>
    <w:rsid w:val="00A843B5"/>
    <w:rsid w:val="00B3562E"/>
    <w:rsid w:val="00C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0"/>
      </w:tabs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0"/>
      </w:tabs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0"/>
      </w:tabs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rFonts w:cs="DejaVu Sans"/>
      <w:lang w:bidi="hi-IN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Pr>
      <w:rFonts w:cs="Times New Roman"/>
      <w:i/>
    </w:rPr>
  </w:style>
  <w:style w:type="character" w:customStyle="1" w:styleId="11">
    <w:name w:val="Верхний колонтитул Знак1"/>
    <w:basedOn w:val="a0"/>
    <w:link w:val="aa"/>
    <w:uiPriority w:val="99"/>
    <w:rPr>
      <w:rFonts w:cs="Times New Roman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rPr>
      <w:rFonts w:cs="DejaVu Sans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rFonts w:cs="DejaVu Sans"/>
      <w:lang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rFonts w:cs="DejaVu Sans"/>
      <w:sz w:val="20"/>
      <w:szCs w:val="20"/>
      <w:lang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DejaVu Sans"/>
        <w:b/>
        <w:color w:val="404040"/>
        <w:sz w:val="22"/>
      </w:rPr>
    </w:tblStylePr>
    <w:tblStylePr w:type="lastRow">
      <w:rPr>
        <w:rFonts w:ascii="Arial" w:hAnsi="Arial" w:cs="DejaVu Sans"/>
        <w:b/>
        <w:color w:val="404040"/>
        <w:sz w:val="22"/>
      </w:r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cs="DejaVu Sans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cs="DejaVu Sans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Pr>
      <w:rFonts w:cs="DejaVu Sans"/>
      <w:sz w:val="20"/>
      <w:szCs w:val="20"/>
      <w:lang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DejaVu Sans"/>
        <w:b/>
        <w:color w:val="404040"/>
        <w:sz w:val="22"/>
      </w:r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cs="DejaVu Sans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rPr>
        <w:rFonts w:cs="DejaVu Sans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DejaVu Sans"/>
        <w:b/>
        <w:caps/>
        <w:color w:val="404040"/>
      </w:rPr>
    </w:tblStylePr>
    <w:tblStylePr w:type="firstCol">
      <w:rPr>
        <w:rFonts w:cs="DejaVu Sans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DejaVu Sans"/>
        <w:b/>
        <w:caps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rPr>
        <w:rFonts w:cs="DejaVu Sans"/>
      </w:rPr>
      <w:tblPr/>
      <w:tcPr>
        <w:shd w:val="clear" w:color="8A8A8A" w:themeColor="text1" w:themeTint="75" w:fill="8A8A8A" w:themeFill="text1" w:themeFillTint="75"/>
      </w:tcPr>
    </w:tblStylePr>
    <w:tblStylePr w:type="band1Horz">
      <w:rPr>
        <w:rFonts w:cs="DejaVu Sans"/>
      </w:rPr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rPr>
        <w:rFonts w:cs="DejaVu Sans"/>
      </w:rPr>
      <w:tblPr/>
      <w:tcPr>
        <w:shd w:val="clear" w:color="AEC4E0" w:themeColor="accent1" w:themeTint="75" w:fill="AEC4E0" w:themeFill="accent1" w:themeFillTint="75"/>
      </w:tcPr>
    </w:tblStylePr>
    <w:tblStylePr w:type="band1Horz">
      <w:rPr>
        <w:rFonts w:cs="DejaVu Sans"/>
      </w:rPr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rPr>
        <w:rFonts w:cs="DejaVu Sans"/>
      </w:rPr>
      <w:tblPr/>
      <w:tcPr>
        <w:shd w:val="clear" w:color="E2AEAD" w:themeColor="accent2" w:themeTint="75" w:fill="E2AEAD" w:themeFill="accent2" w:themeFillTint="75"/>
      </w:tcPr>
    </w:tblStylePr>
    <w:tblStylePr w:type="band1Horz">
      <w:rPr>
        <w:rFonts w:cs="DejaVu Sans"/>
      </w:rPr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rPr>
        <w:rFonts w:cs="DejaVu Sans"/>
      </w:rPr>
      <w:tblPr/>
      <w:tcPr>
        <w:shd w:val="clear" w:color="D0DFB2" w:themeColor="accent3" w:themeTint="75" w:fill="D0DFB2" w:themeFill="accent3" w:themeFillTint="75"/>
      </w:tcPr>
    </w:tblStylePr>
    <w:tblStylePr w:type="band1Horz">
      <w:rPr>
        <w:rFonts w:cs="DejaVu Sans"/>
      </w:rPr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rPr>
        <w:rFonts w:cs="DejaVu Sans"/>
      </w:rPr>
      <w:tblPr/>
      <w:tcPr>
        <w:shd w:val="clear" w:color="C4B7D4" w:themeColor="accent4" w:themeTint="75" w:fill="C4B7D4" w:themeFill="accent4" w:themeFillTint="75"/>
      </w:tcPr>
    </w:tblStylePr>
    <w:tblStylePr w:type="band1Horz">
      <w:rPr>
        <w:rFonts w:cs="DejaVu Sans"/>
      </w:rPr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cs="DejaVu Sans"/>
      </w:rPr>
      <w:tblPr/>
      <w:tcPr>
        <w:shd w:val="clear" w:color="ACD8E4" w:themeColor="accent5" w:themeTint="75" w:fill="ACD8E4" w:themeFill="accent5" w:themeFillTint="75"/>
      </w:tcPr>
    </w:tblStylePr>
    <w:tblStylePr w:type="band1Horz">
      <w:rPr>
        <w:rFonts w:cs="DejaVu Sans"/>
      </w:rPr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cs="DejaVu Sans"/>
      </w:rPr>
      <w:tblPr/>
      <w:tcPr>
        <w:shd w:val="clear" w:color="FBCEAA" w:themeColor="accent6" w:themeTint="75" w:fill="FBCEAA" w:themeFill="accent6" w:themeFillTint="75"/>
      </w:tcPr>
    </w:tblStylePr>
    <w:tblStylePr w:type="band1Horz">
      <w:rPr>
        <w:rFonts w:cs="DejaVu Sans"/>
      </w:rPr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cs="DejaVu Sans"/>
        <w:b/>
        <w:color w:val="7F7F7F" w:themeColor="text1" w:themeTint="80" w:themeShade="95"/>
      </w:rPr>
    </w:tblStylePr>
    <w:tblStylePr w:type="firstCol">
      <w:rPr>
        <w:rFonts w:cs="DejaVu Sans"/>
        <w:b/>
        <w:color w:val="7F7F7F" w:themeColor="text1" w:themeTint="80" w:themeShade="95"/>
      </w:rPr>
    </w:tblStylePr>
    <w:tblStylePr w:type="lastCol">
      <w:rPr>
        <w:rFonts w:cs="DejaVu Sans"/>
        <w:b/>
        <w:color w:val="7F7F7F" w:themeColor="text1" w:themeTint="80" w:themeShade="95"/>
      </w:rPr>
    </w:tblStylePr>
    <w:tblStylePr w:type="band1Vert">
      <w:rPr>
        <w:rFonts w:cs="DejaVu Sans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 w:cs="DejaVu Sans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rFonts w:cs="DejaVu Sans"/>
        <w:b/>
        <w:color w:val="A6BFDD" w:themeColor="accent1" w:themeTint="80" w:themeShade="95"/>
      </w:rPr>
    </w:tblStylePr>
    <w:tblStylePr w:type="firstCol">
      <w:rPr>
        <w:rFonts w:cs="DejaVu Sans"/>
        <w:b/>
        <w:color w:val="A6BFDD" w:themeColor="accent1" w:themeTint="80" w:themeShade="95"/>
      </w:rPr>
    </w:tblStylePr>
    <w:tblStylePr w:type="lastCol">
      <w:rPr>
        <w:rFonts w:cs="DejaVu Sans"/>
        <w:b/>
        <w:color w:val="A6BFDD" w:themeColor="accent1" w:themeTint="80" w:themeShade="95"/>
      </w:rPr>
    </w:tblStylePr>
    <w:tblStylePr w:type="band1Vert">
      <w:rPr>
        <w:rFonts w:cs="DejaVu Sans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 w:cs="DejaVu Sans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cs="DejaVu Sans"/>
        <w:b/>
        <w:color w:val="D99695" w:themeColor="accent2" w:themeTint="97" w:themeShade="95"/>
      </w:rPr>
    </w:tblStylePr>
    <w:tblStylePr w:type="firstCol">
      <w:rPr>
        <w:rFonts w:cs="DejaVu Sans"/>
        <w:b/>
        <w:color w:val="D99695" w:themeColor="accent2" w:themeTint="97" w:themeShade="95"/>
      </w:rPr>
    </w:tblStylePr>
    <w:tblStylePr w:type="lastCol">
      <w:rPr>
        <w:rFonts w:cs="DejaVu Sans"/>
        <w:b/>
        <w:color w:val="D99695" w:themeColor="accent2" w:themeTint="97" w:themeShade="95"/>
      </w:rPr>
    </w:tblStylePr>
    <w:tblStylePr w:type="band1Vert">
      <w:rPr>
        <w:rFonts w:cs="DejaVu Sans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rFonts w:cs="DejaVu Sans"/>
        <w:b/>
        <w:color w:val="9ABB59" w:themeColor="accent3" w:themeTint="FE" w:themeShade="95"/>
      </w:rPr>
    </w:tblStylePr>
    <w:tblStylePr w:type="firstCol">
      <w:rPr>
        <w:rFonts w:cs="DejaVu Sans"/>
        <w:b/>
        <w:color w:val="9ABB59" w:themeColor="accent3" w:themeTint="FE" w:themeShade="95"/>
      </w:rPr>
    </w:tblStylePr>
    <w:tblStylePr w:type="lastCol">
      <w:rPr>
        <w:rFonts w:cs="DejaVu Sans"/>
        <w:b/>
        <w:color w:val="9ABB59" w:themeColor="accent3" w:themeTint="FE" w:themeShade="95"/>
      </w:rPr>
    </w:tblStylePr>
    <w:tblStylePr w:type="band1Vert">
      <w:rPr>
        <w:rFonts w:cs="DejaVu Sans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 w:cs="DejaVu Sans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cs="DejaVu Sans"/>
        <w:b/>
        <w:color w:val="B2A1C6" w:themeColor="accent4" w:themeTint="9A" w:themeShade="95"/>
      </w:rPr>
    </w:tblStylePr>
    <w:tblStylePr w:type="firstCol">
      <w:rPr>
        <w:rFonts w:cs="DejaVu Sans"/>
        <w:b/>
        <w:color w:val="B2A1C6" w:themeColor="accent4" w:themeTint="9A" w:themeShade="95"/>
      </w:rPr>
    </w:tblStylePr>
    <w:tblStylePr w:type="lastCol">
      <w:rPr>
        <w:rFonts w:cs="DejaVu Sans"/>
        <w:b/>
        <w:color w:val="B2A1C6" w:themeColor="accent4" w:themeTint="9A" w:themeShade="95"/>
      </w:rPr>
    </w:tblStylePr>
    <w:tblStylePr w:type="band1Vert">
      <w:rPr>
        <w:rFonts w:cs="DejaVu Sans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rFonts w:cs="DejaVu Sans"/>
        <w:b/>
        <w:color w:val="266779" w:themeColor="accent5" w:themeShade="95"/>
      </w:rPr>
    </w:tblStylePr>
    <w:tblStylePr w:type="firstCol">
      <w:rPr>
        <w:rFonts w:cs="DejaVu Sans"/>
        <w:b/>
        <w:color w:val="266779" w:themeColor="accent5" w:themeShade="95"/>
      </w:rPr>
    </w:tblStylePr>
    <w:tblStylePr w:type="lastCol">
      <w:rPr>
        <w:rFonts w:cs="DejaVu Sans"/>
        <w:b/>
        <w:color w:val="266779" w:themeColor="accent5" w:themeShade="95"/>
      </w:rPr>
    </w:tblStylePr>
    <w:tblStylePr w:type="band1Vert">
      <w:rPr>
        <w:rFonts w:cs="DejaVu Sans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 w:cs="DejaVu Sans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rFonts w:cs="DejaVu Sans"/>
        <w:b/>
        <w:color w:val="266779" w:themeColor="accent5" w:themeShade="95"/>
      </w:rPr>
    </w:tblStylePr>
    <w:tblStylePr w:type="firstCol">
      <w:rPr>
        <w:rFonts w:cs="DejaVu Sans"/>
        <w:b/>
        <w:color w:val="266779" w:themeColor="accent5" w:themeShade="95"/>
      </w:rPr>
    </w:tblStylePr>
    <w:tblStylePr w:type="lastCol">
      <w:rPr>
        <w:rFonts w:cs="DejaVu Sans"/>
        <w:b/>
        <w:color w:val="266779" w:themeColor="accent5" w:themeShade="95"/>
      </w:rPr>
    </w:tblStylePr>
    <w:tblStylePr w:type="band1Vert">
      <w:rPr>
        <w:rFonts w:cs="DejaVu Sans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 w:cs="DejaVu Sans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 w:cs="DejaVu Sans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 w:cs="DejaVu Sans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 w:cs="DejaVu Sans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 w:cs="DejaVu Sans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 w:cs="DejaVu Sans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DejaVu Sans"/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DejaVu Sans"/>
        <w:b/>
        <w:color w:val="000000" w:themeColor="text1"/>
      </w:rPr>
    </w:tblStylePr>
    <w:tblStylePr w:type="lastCol">
      <w:rPr>
        <w:rFonts w:cs="DejaVu Sans"/>
        <w:b/>
        <w:color w:val="000000" w:themeColor="text1"/>
      </w:rPr>
    </w:tblStylePr>
    <w:tblStylePr w:type="band1Vert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 w:cs="DejaVu Sans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rFonts w:cs="DejaVu Sans"/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rFonts w:cs="DejaVu Sans"/>
        <w:b/>
        <w:color w:val="2A4A71" w:themeColor="accent1" w:themeShade="95"/>
      </w:rPr>
    </w:tblStylePr>
    <w:tblStylePr w:type="lastCol">
      <w:rPr>
        <w:rFonts w:cs="DejaVu Sans"/>
        <w:b/>
        <w:color w:val="2A4A71" w:themeColor="accent1" w:themeShade="95"/>
      </w:rPr>
    </w:tblStylePr>
    <w:tblStylePr w:type="band1Vert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 w:cs="DejaVu Sans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rFonts w:cs="DejaVu Sans"/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rFonts w:cs="DejaVu Sans"/>
        <w:b/>
        <w:color w:val="D99695" w:themeColor="accent2" w:themeTint="97" w:themeShade="95"/>
      </w:rPr>
    </w:tblStylePr>
    <w:tblStylePr w:type="lastCol">
      <w:rPr>
        <w:rFonts w:cs="DejaVu Sans"/>
        <w:b/>
        <w:color w:val="D99695" w:themeColor="accent2" w:themeTint="97" w:themeShade="95"/>
      </w:rPr>
    </w:tblStylePr>
    <w:tblStylePr w:type="band1Vert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rFonts w:cs="DejaVu Sans"/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rFonts w:cs="DejaVu Sans"/>
        <w:b/>
        <w:color w:val="C3D69B" w:themeColor="accent3" w:themeTint="98" w:themeShade="95"/>
      </w:rPr>
    </w:tblStylePr>
    <w:tblStylePr w:type="lastCol">
      <w:rPr>
        <w:rFonts w:cs="DejaVu Sans"/>
        <w:b/>
        <w:color w:val="C3D69B" w:themeColor="accent3" w:themeTint="98" w:themeShade="95"/>
      </w:rPr>
    </w:tblStylePr>
    <w:tblStylePr w:type="band1Vert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 w:cs="DejaVu Sans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rFonts w:cs="DejaVu Sans"/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rFonts w:cs="DejaVu Sans"/>
        <w:b/>
        <w:color w:val="B2A1C6" w:themeColor="accent4" w:themeTint="9A" w:themeShade="95"/>
      </w:rPr>
    </w:tblStylePr>
    <w:tblStylePr w:type="lastCol">
      <w:rPr>
        <w:rFonts w:cs="DejaVu Sans"/>
        <w:b/>
        <w:color w:val="B2A1C6" w:themeColor="accent4" w:themeTint="9A" w:themeShade="95"/>
      </w:rPr>
    </w:tblStylePr>
    <w:tblStylePr w:type="band1Vert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rFonts w:cs="DejaVu Sans"/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rFonts w:cs="DejaVu Sans"/>
        <w:b/>
        <w:color w:val="92CCDC" w:themeColor="accent5" w:themeTint="9A" w:themeShade="95"/>
      </w:rPr>
    </w:tblStylePr>
    <w:tblStylePr w:type="lastCol">
      <w:rPr>
        <w:rFonts w:cs="DejaVu Sans"/>
        <w:b/>
        <w:color w:val="92CCDC" w:themeColor="accent5" w:themeTint="9A" w:themeShade="95"/>
      </w:rPr>
    </w:tblStylePr>
    <w:tblStylePr w:type="band1Vert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 w:cs="DejaVu Sans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rFonts w:cs="DejaVu Sans"/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rFonts w:cs="DejaVu Sans"/>
        <w:b/>
        <w:color w:val="FAC090" w:themeColor="accent6" w:themeTint="98" w:themeShade="95"/>
      </w:rPr>
    </w:tblStylePr>
    <w:tblStylePr w:type="lastCol">
      <w:rPr>
        <w:rFonts w:cs="DejaVu Sans"/>
        <w:b/>
        <w:color w:val="FAC090" w:themeColor="accent6" w:themeTint="98" w:themeShade="95"/>
      </w:rPr>
    </w:tblStylePr>
    <w:tblStylePr w:type="band1Vert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 w:cs="DejaVu Sans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 w:cs="DejaVu Sans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 w:cs="DejaVu Sans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 w:cs="DejaVu Sans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 w:cs="DejaVu Sans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 w:cs="DejaVu Sans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rPr>
      <w:rFonts w:cs="Times New Roman"/>
      <w:sz w:val="18"/>
    </w:rPr>
  </w:style>
  <w:style w:type="character" w:styleId="af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basedOn w:val="1"/>
    <w:uiPriority w:val="39"/>
    <w:unhideWhenUsed/>
    <w:pPr>
      <w:keepNext w:val="0"/>
      <w:numPr>
        <w:numId w:val="0"/>
      </w:numPr>
      <w:tabs>
        <w:tab w:val="left" w:pos="0"/>
      </w:tabs>
      <w:spacing w:after="0"/>
      <w:outlineLvl w:val="9"/>
    </w:pPr>
    <w:rPr>
      <w:rFonts w:cs="DejaVu Sans"/>
      <w:b w:val="0"/>
      <w:bCs w:val="0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  <w:rPr>
      <w:color w:val="auto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4z0">
    <w:name w:val="WW8Num4z0"/>
    <w:qFormat/>
    <w:rPr>
      <w:color w:val="auto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6z0">
    <w:name w:val="WW8Num6z0"/>
    <w:qFormat/>
    <w:rPr>
      <w:color w:val="auto"/>
    </w:rPr>
  </w:style>
  <w:style w:type="character" w:customStyle="1" w:styleId="WW8Num9z0">
    <w:name w:val="WW8Num9z0"/>
    <w:qFormat/>
    <w:rPr>
      <w:color w:val="auto"/>
      <w:sz w:val="24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10z4">
    <w:name w:val="WW8Num10z4"/>
    <w:qFormat/>
    <w:rPr>
      <w:rFonts w:ascii="Courier New" w:hAnsi="Courier New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2z1">
    <w:name w:val="WW8Num12z1"/>
    <w:qFormat/>
    <w:rPr>
      <w:color w:val="auto"/>
      <w:sz w:val="20"/>
    </w:rPr>
  </w:style>
  <w:style w:type="character" w:customStyle="1" w:styleId="WW8Num12z4">
    <w:name w:val="WW8Num12z4"/>
    <w:qFormat/>
    <w:rPr>
      <w:rFonts w:ascii="Courier New" w:hAnsi="Courier New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4z0">
    <w:name w:val="WW8Num14z0"/>
    <w:qFormat/>
    <w:rPr>
      <w:color w:val="auto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5z0">
    <w:name w:val="WW8Num15z0"/>
    <w:qFormat/>
    <w:rPr>
      <w:color w:val="auto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7z4">
    <w:name w:val="WW8Num17z4"/>
    <w:qFormat/>
    <w:rPr>
      <w:rFonts w:ascii="Courier New" w:hAnsi="Courier New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9z2">
    <w:name w:val="WW8Num19z2"/>
    <w:qFormat/>
    <w:rPr>
      <w:color w:val="auto"/>
      <w:sz w:val="16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color w:val="auto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3z0">
    <w:name w:val="WW8Num23z0"/>
    <w:qFormat/>
    <w:rPr>
      <w:color w:val="auto"/>
    </w:rPr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4z1">
    <w:name w:val="WW8Num24z1"/>
    <w:qFormat/>
    <w:rPr>
      <w:rFonts w:ascii="Courier New" w:hAnsi="Courier New"/>
    </w:rPr>
  </w:style>
  <w:style w:type="character" w:customStyle="1" w:styleId="WW8Num25z0">
    <w:name w:val="WW8Num25z0"/>
    <w:qFormat/>
    <w:rPr>
      <w:color w:val="auto"/>
    </w:rPr>
  </w:style>
  <w:style w:type="character" w:customStyle="1" w:styleId="WW8Num25z1">
    <w:name w:val="WW8Num25z1"/>
    <w:qFormat/>
    <w:rPr>
      <w:rFonts w:ascii="Courier New" w:hAnsi="Courier New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7z1">
    <w:name w:val="WW8Num27z1"/>
    <w:qFormat/>
    <w:rPr>
      <w:rFonts w:ascii="Courier New" w:hAnsi="Courier New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30z1">
    <w:name w:val="WW8Num30z1"/>
    <w:qFormat/>
    <w:rPr>
      <w:rFonts w:ascii="Courier New" w:hAnsi="Courier New"/>
    </w:rPr>
  </w:style>
  <w:style w:type="character" w:customStyle="1" w:styleId="14">
    <w:name w:val="Основной шрифт абзаца1"/>
    <w:qFormat/>
  </w:style>
  <w:style w:type="character" w:customStyle="1" w:styleId="af5">
    <w:name w:val="Верхний колонтитул Знак"/>
    <w:qFormat/>
    <w:rPr>
      <w:sz w:val="24"/>
    </w:rPr>
  </w:style>
  <w:style w:type="character" w:customStyle="1" w:styleId="af6">
    <w:name w:val="Нижний колонтитул Знак"/>
    <w:qFormat/>
    <w:rPr>
      <w:sz w:val="24"/>
    </w:rPr>
  </w:style>
  <w:style w:type="character" w:styleId="af7">
    <w:name w:val="Strong"/>
    <w:basedOn w:val="a0"/>
    <w:uiPriority w:val="22"/>
    <w:qFormat/>
    <w:rPr>
      <w:rFonts w:cs="Times New Roman"/>
      <w:b/>
    </w:rPr>
  </w:style>
  <w:style w:type="character" w:customStyle="1" w:styleId="15">
    <w:name w:val="Дата1"/>
    <w:basedOn w:val="a0"/>
    <w:qFormat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character" w:styleId="af9">
    <w:name w:val="Emphasis"/>
    <w:basedOn w:val="a0"/>
    <w:uiPriority w:val="20"/>
    <w:qFormat/>
    <w:rPr>
      <w:rFonts w:cs="Times New Roman"/>
      <w:i/>
    </w:rPr>
  </w:style>
  <w:style w:type="character" w:customStyle="1" w:styleId="24">
    <w:name w:val="Основной текст 2 Знак"/>
    <w:qFormat/>
    <w:rPr>
      <w:sz w:val="24"/>
    </w:rPr>
  </w:style>
  <w:style w:type="character" w:customStyle="1" w:styleId="25">
    <w:name w:val="Основной текст с отступом 2 Знак"/>
    <w:qFormat/>
    <w:rPr>
      <w:sz w:val="24"/>
      <w:lang w:val="en-US" w:eastAsia="ar-SA" w:bidi="ar-SA"/>
    </w:rPr>
  </w:style>
  <w:style w:type="character" w:customStyle="1" w:styleId="32">
    <w:name w:val="Основной текст 3 Знак"/>
    <w:qFormat/>
    <w:rPr>
      <w:sz w:val="16"/>
      <w:lang w:val="en-US" w:eastAsia="ar-SA" w:bidi="ar-SA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fa">
    <w:name w:val="Body Text"/>
    <w:basedOn w:val="a"/>
    <w:link w:val="afb"/>
    <w:uiPriority w:val="99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uiPriority w:val="99"/>
    <w:semiHidden/>
    <w:rPr>
      <w:rFonts w:cs="Times New Roman"/>
      <w:lang w:val="ru-RU" w:eastAsia="ar-SA" w:bidi="ar-SA"/>
    </w:rPr>
  </w:style>
  <w:style w:type="paragraph" w:styleId="afc">
    <w:name w:val="List"/>
    <w:basedOn w:val="afa"/>
    <w:uiPriority w:val="99"/>
    <w:rPr>
      <w:rFonts w:cs="Lohit Hindi"/>
    </w:rPr>
  </w:style>
  <w:style w:type="paragraph" w:styleId="afd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sz w:val="20"/>
      <w:szCs w:val="20"/>
    </w:rPr>
  </w:style>
  <w:style w:type="paragraph" w:customStyle="1" w:styleId="afe">
    <w:name w:val="Заголовок"/>
    <w:basedOn w:val="a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17">
    <w:name w:val="Название1"/>
    <w:basedOn w:val="a"/>
    <w:qFormat/>
    <w:pPr>
      <w:spacing w:before="120" w:after="120"/>
    </w:pPr>
    <w:rPr>
      <w:rFonts w:cs="Lohit Hindi"/>
      <w:i/>
      <w:iCs/>
    </w:rPr>
  </w:style>
  <w:style w:type="paragraph" w:customStyle="1" w:styleId="18">
    <w:name w:val="Указатель1"/>
    <w:basedOn w:val="a"/>
    <w:qFormat/>
    <w:rPr>
      <w:rFonts w:cs="Lohit Hindi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 Знак2"/>
    <w:basedOn w:val="a0"/>
    <w:uiPriority w:val="99"/>
    <w:semiHidden/>
    <w:rPr>
      <w:lang w:val="ru-RU" w:eastAsia="ar-SA"/>
    </w:rPr>
  </w:style>
  <w:style w:type="character" w:customStyle="1" w:styleId="240">
    <w:name w:val="Верхний колонтитул Знак24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30">
    <w:name w:val="Верхний колонтитул Знак23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20">
    <w:name w:val="Верхний колонтитул Знак22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10">
    <w:name w:val="Верхний колонтитул Знак21"/>
    <w:basedOn w:val="a0"/>
    <w:uiPriority w:val="99"/>
    <w:semiHidden/>
    <w:rPr>
      <w:rFonts w:cs="Times New Roman"/>
      <w:lang w:val="ru-RU" w:eastAsia="ar-SA" w:bidi="ar-SA"/>
    </w:rPr>
  </w:style>
  <w:style w:type="paragraph" w:styleId="aff">
    <w:name w:val="Balloon Text"/>
    <w:basedOn w:val="a"/>
    <w:link w:val="aff0"/>
    <w:uiPriority w:val="99"/>
    <w:qFormat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  <w:lang w:val="ru-RU" w:eastAsia="ar-SA" w:bidi="ar-SA"/>
    </w:r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27">
    <w:name w:val="Нижний колонтитул Знак2"/>
    <w:basedOn w:val="a0"/>
    <w:uiPriority w:val="99"/>
    <w:semiHidden/>
    <w:rPr>
      <w:lang w:val="ru-RU" w:eastAsia="ar-SA"/>
    </w:rPr>
  </w:style>
  <w:style w:type="character" w:customStyle="1" w:styleId="241">
    <w:name w:val="Нижний колонтитул Знак24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31">
    <w:name w:val="Нижний колонтитул Знак23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21">
    <w:name w:val="Нижний колонтитул Знак22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11">
    <w:name w:val="Нижний колонтитул Знак21"/>
    <w:basedOn w:val="a0"/>
    <w:uiPriority w:val="99"/>
    <w:semiHidden/>
    <w:rPr>
      <w:rFonts w:cs="Times New Roman"/>
      <w:lang w:val="ru-RU" w:eastAsia="ar-SA" w:bidi="ar-SA"/>
    </w:rPr>
  </w:style>
  <w:style w:type="paragraph" w:customStyle="1" w:styleId="aff1">
    <w:name w:val="Содержимое таблицы"/>
    <w:basedOn w:val="a"/>
    <w:qFormat/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Normal (Web)"/>
    <w:basedOn w:val="a"/>
    <w:uiPriority w:val="99"/>
    <w:qFormat/>
    <w:pPr>
      <w:spacing w:beforeAutospacing="1" w:afterAutospacing="1"/>
    </w:pPr>
    <w:rPr>
      <w:lang w:eastAsia="ru-RU"/>
    </w:rPr>
  </w:style>
  <w:style w:type="paragraph" w:styleId="af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8">
    <w:name w:val="Body Text 2"/>
    <w:basedOn w:val="a"/>
    <w:link w:val="212"/>
    <w:uiPriority w:val="99"/>
    <w:qFormat/>
    <w:pPr>
      <w:spacing w:after="120" w:line="480" w:lineRule="auto"/>
    </w:pPr>
    <w:rPr>
      <w:lang w:eastAsia="ru-RU"/>
    </w:rPr>
  </w:style>
  <w:style w:type="character" w:customStyle="1" w:styleId="212">
    <w:name w:val="Основной текст 2 Знак1"/>
    <w:basedOn w:val="a0"/>
    <w:link w:val="28"/>
    <w:uiPriority w:val="99"/>
    <w:semiHidden/>
    <w:rPr>
      <w:rFonts w:cs="Times New Roman"/>
      <w:lang w:val="ru-RU" w:eastAsia="ar-SA" w:bidi="ar-SA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hAnsi="Arial" w:cs="Arial"/>
      <w:sz w:val="20"/>
      <w:szCs w:val="20"/>
    </w:rPr>
  </w:style>
  <w:style w:type="paragraph" w:styleId="29">
    <w:name w:val="Body Text Indent 2"/>
    <w:basedOn w:val="a"/>
    <w:link w:val="213"/>
    <w:uiPriority w:val="99"/>
    <w:qFormat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0"/>
    <w:link w:val="29"/>
    <w:uiPriority w:val="99"/>
    <w:semiHidden/>
    <w:rPr>
      <w:rFonts w:cs="Times New Roman"/>
      <w:lang w:val="ru-RU" w:eastAsia="ar-SA" w:bidi="ar-SA"/>
    </w:rPr>
  </w:style>
  <w:style w:type="paragraph" w:styleId="33">
    <w:name w:val="Body Text 3"/>
    <w:basedOn w:val="a"/>
    <w:link w:val="310"/>
    <w:uiPriority w:val="99"/>
    <w:qFormat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Pr>
      <w:rFonts w:cs="Times New Roman"/>
      <w:sz w:val="16"/>
      <w:szCs w:val="16"/>
      <w:lang w:val="ru-RU" w:eastAsia="ar-SA" w:bidi="ar-SA"/>
    </w:rPr>
  </w:style>
  <w:style w:type="character" w:styleId="aff5">
    <w:name w:val="line number"/>
    <w:basedOn w:val="a0"/>
    <w:uiPriority w:val="99"/>
    <w:semiHidden/>
    <w:unhideWhenUsed/>
  </w:style>
  <w:style w:type="character" w:customStyle="1" w:styleId="extendedtext-full">
    <w:name w:val="extendedtext-full"/>
    <w:basedOn w:val="a0"/>
  </w:style>
  <w:style w:type="character" w:customStyle="1" w:styleId="docdata">
    <w:name w:val="docdata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0"/>
      </w:tabs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0"/>
      </w:tabs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0"/>
      </w:tabs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rFonts w:cs="DejaVu Sans"/>
      <w:lang w:bidi="hi-IN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Pr>
      <w:rFonts w:cs="Times New Roman"/>
      <w:i/>
    </w:rPr>
  </w:style>
  <w:style w:type="character" w:customStyle="1" w:styleId="11">
    <w:name w:val="Верхний колонтитул Знак1"/>
    <w:basedOn w:val="a0"/>
    <w:link w:val="aa"/>
    <w:uiPriority w:val="99"/>
    <w:rPr>
      <w:rFonts w:cs="Times New Roman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rPr>
      <w:rFonts w:cs="DejaVu Sans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rFonts w:cs="DejaVu Sans"/>
      <w:lang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rFonts w:cs="DejaVu Sans"/>
      <w:sz w:val="20"/>
      <w:szCs w:val="20"/>
      <w:lang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DejaVu Sans"/>
        <w:b/>
        <w:color w:val="404040"/>
        <w:sz w:val="22"/>
      </w:rPr>
    </w:tblStylePr>
    <w:tblStylePr w:type="lastRow">
      <w:rPr>
        <w:rFonts w:ascii="Arial" w:hAnsi="Arial" w:cs="DejaVu Sans"/>
        <w:b/>
        <w:color w:val="404040"/>
        <w:sz w:val="22"/>
      </w:r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cs="DejaVu Sans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cs="DejaVu Sans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Pr>
      <w:rFonts w:cs="DejaVu Sans"/>
      <w:sz w:val="20"/>
      <w:szCs w:val="20"/>
      <w:lang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DejaVu Sans"/>
        <w:b/>
        <w:color w:val="404040"/>
        <w:sz w:val="22"/>
      </w:r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cs="DejaVu Sans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rPr>
        <w:rFonts w:cs="DejaVu Sans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DejaVu Sans"/>
        <w:b/>
        <w:caps/>
        <w:color w:val="404040"/>
      </w:rPr>
    </w:tblStylePr>
    <w:tblStylePr w:type="firstCol">
      <w:rPr>
        <w:rFonts w:cs="DejaVu Sans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DejaVu Sans"/>
        <w:b/>
        <w:caps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DejaVu Sans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rPr>
        <w:rFonts w:cs="DejaVu Sans"/>
      </w:rPr>
      <w:tblPr/>
      <w:tcPr>
        <w:shd w:val="clear" w:color="8A8A8A" w:themeColor="text1" w:themeTint="75" w:fill="8A8A8A" w:themeFill="text1" w:themeFillTint="75"/>
      </w:tcPr>
    </w:tblStylePr>
    <w:tblStylePr w:type="band1Horz">
      <w:rPr>
        <w:rFonts w:cs="DejaVu Sans"/>
      </w:rPr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rPr>
        <w:rFonts w:cs="DejaVu Sans"/>
      </w:rPr>
      <w:tblPr/>
      <w:tcPr>
        <w:shd w:val="clear" w:color="AEC4E0" w:themeColor="accent1" w:themeTint="75" w:fill="AEC4E0" w:themeFill="accent1" w:themeFillTint="75"/>
      </w:tcPr>
    </w:tblStylePr>
    <w:tblStylePr w:type="band1Horz">
      <w:rPr>
        <w:rFonts w:cs="DejaVu Sans"/>
      </w:rPr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rPr>
        <w:rFonts w:cs="DejaVu Sans"/>
      </w:rPr>
      <w:tblPr/>
      <w:tcPr>
        <w:shd w:val="clear" w:color="E2AEAD" w:themeColor="accent2" w:themeTint="75" w:fill="E2AEAD" w:themeFill="accent2" w:themeFillTint="75"/>
      </w:tcPr>
    </w:tblStylePr>
    <w:tblStylePr w:type="band1Horz">
      <w:rPr>
        <w:rFonts w:cs="DejaVu Sans"/>
      </w:rPr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rPr>
        <w:rFonts w:cs="DejaVu Sans"/>
      </w:rPr>
      <w:tblPr/>
      <w:tcPr>
        <w:shd w:val="clear" w:color="D0DFB2" w:themeColor="accent3" w:themeTint="75" w:fill="D0DFB2" w:themeFill="accent3" w:themeFillTint="75"/>
      </w:tcPr>
    </w:tblStylePr>
    <w:tblStylePr w:type="band1Horz">
      <w:rPr>
        <w:rFonts w:cs="DejaVu Sans"/>
      </w:rPr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rPr>
        <w:rFonts w:cs="DejaVu Sans"/>
      </w:rPr>
      <w:tblPr/>
      <w:tcPr>
        <w:shd w:val="clear" w:color="C4B7D4" w:themeColor="accent4" w:themeTint="75" w:fill="C4B7D4" w:themeFill="accent4" w:themeFillTint="75"/>
      </w:tcPr>
    </w:tblStylePr>
    <w:tblStylePr w:type="band1Horz">
      <w:rPr>
        <w:rFonts w:cs="DejaVu Sans"/>
      </w:rPr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cs="DejaVu Sans"/>
      </w:rPr>
      <w:tblPr/>
      <w:tcPr>
        <w:shd w:val="clear" w:color="ACD8E4" w:themeColor="accent5" w:themeTint="75" w:fill="ACD8E4" w:themeFill="accent5" w:themeFillTint="75"/>
      </w:tcPr>
    </w:tblStylePr>
    <w:tblStylePr w:type="band1Horz">
      <w:rPr>
        <w:rFonts w:cs="DejaVu Sans"/>
      </w:rPr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DejaVu Sans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cs="DejaVu Sans"/>
      </w:rPr>
      <w:tblPr/>
      <w:tcPr>
        <w:shd w:val="clear" w:color="FBCEAA" w:themeColor="accent6" w:themeTint="75" w:fill="FBCEAA" w:themeFill="accent6" w:themeFillTint="75"/>
      </w:tcPr>
    </w:tblStylePr>
    <w:tblStylePr w:type="band1Horz">
      <w:rPr>
        <w:rFonts w:cs="DejaVu Sans"/>
      </w:rPr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cs="DejaVu Sans"/>
        <w:b/>
        <w:color w:val="7F7F7F" w:themeColor="text1" w:themeTint="80" w:themeShade="95"/>
      </w:rPr>
    </w:tblStylePr>
    <w:tblStylePr w:type="firstCol">
      <w:rPr>
        <w:rFonts w:cs="DejaVu Sans"/>
        <w:b/>
        <w:color w:val="7F7F7F" w:themeColor="text1" w:themeTint="80" w:themeShade="95"/>
      </w:rPr>
    </w:tblStylePr>
    <w:tblStylePr w:type="lastCol">
      <w:rPr>
        <w:rFonts w:cs="DejaVu Sans"/>
        <w:b/>
        <w:color w:val="7F7F7F" w:themeColor="text1" w:themeTint="80" w:themeShade="95"/>
      </w:rPr>
    </w:tblStylePr>
    <w:tblStylePr w:type="band1Vert">
      <w:rPr>
        <w:rFonts w:cs="DejaVu Sans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 w:cs="DejaVu Sans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 w:cs="DejaVu Sans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rFonts w:cs="DejaVu Sans"/>
        <w:b/>
        <w:color w:val="A6BFDD" w:themeColor="accent1" w:themeTint="80" w:themeShade="95"/>
      </w:rPr>
    </w:tblStylePr>
    <w:tblStylePr w:type="firstCol">
      <w:rPr>
        <w:rFonts w:cs="DejaVu Sans"/>
        <w:b/>
        <w:color w:val="A6BFDD" w:themeColor="accent1" w:themeTint="80" w:themeShade="95"/>
      </w:rPr>
    </w:tblStylePr>
    <w:tblStylePr w:type="lastCol">
      <w:rPr>
        <w:rFonts w:cs="DejaVu Sans"/>
        <w:b/>
        <w:color w:val="A6BFDD" w:themeColor="accent1" w:themeTint="80" w:themeShade="95"/>
      </w:rPr>
    </w:tblStylePr>
    <w:tblStylePr w:type="band1Vert">
      <w:rPr>
        <w:rFonts w:cs="DejaVu Sans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 w:cs="DejaVu Sans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cs="DejaVu Sans"/>
        <w:b/>
        <w:color w:val="D99695" w:themeColor="accent2" w:themeTint="97" w:themeShade="95"/>
      </w:rPr>
    </w:tblStylePr>
    <w:tblStylePr w:type="firstCol">
      <w:rPr>
        <w:rFonts w:cs="DejaVu Sans"/>
        <w:b/>
        <w:color w:val="D99695" w:themeColor="accent2" w:themeTint="97" w:themeShade="95"/>
      </w:rPr>
    </w:tblStylePr>
    <w:tblStylePr w:type="lastCol">
      <w:rPr>
        <w:rFonts w:cs="DejaVu Sans"/>
        <w:b/>
        <w:color w:val="D99695" w:themeColor="accent2" w:themeTint="97" w:themeShade="95"/>
      </w:rPr>
    </w:tblStylePr>
    <w:tblStylePr w:type="band1Vert">
      <w:rPr>
        <w:rFonts w:cs="DejaVu Sans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rFonts w:cs="DejaVu Sans"/>
        <w:b/>
        <w:color w:val="9ABB59" w:themeColor="accent3" w:themeTint="FE" w:themeShade="95"/>
      </w:rPr>
    </w:tblStylePr>
    <w:tblStylePr w:type="firstCol">
      <w:rPr>
        <w:rFonts w:cs="DejaVu Sans"/>
        <w:b/>
        <w:color w:val="9ABB59" w:themeColor="accent3" w:themeTint="FE" w:themeShade="95"/>
      </w:rPr>
    </w:tblStylePr>
    <w:tblStylePr w:type="lastCol">
      <w:rPr>
        <w:rFonts w:cs="DejaVu Sans"/>
        <w:b/>
        <w:color w:val="9ABB59" w:themeColor="accent3" w:themeTint="FE" w:themeShade="95"/>
      </w:rPr>
    </w:tblStylePr>
    <w:tblStylePr w:type="band1Vert">
      <w:rPr>
        <w:rFonts w:cs="DejaVu Sans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 w:cs="DejaVu Sans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cs="DejaVu Sans"/>
        <w:b/>
        <w:color w:val="B2A1C6" w:themeColor="accent4" w:themeTint="9A" w:themeShade="95"/>
      </w:rPr>
    </w:tblStylePr>
    <w:tblStylePr w:type="firstCol">
      <w:rPr>
        <w:rFonts w:cs="DejaVu Sans"/>
        <w:b/>
        <w:color w:val="B2A1C6" w:themeColor="accent4" w:themeTint="9A" w:themeShade="95"/>
      </w:rPr>
    </w:tblStylePr>
    <w:tblStylePr w:type="lastCol">
      <w:rPr>
        <w:rFonts w:cs="DejaVu Sans"/>
        <w:b/>
        <w:color w:val="B2A1C6" w:themeColor="accent4" w:themeTint="9A" w:themeShade="95"/>
      </w:rPr>
    </w:tblStylePr>
    <w:tblStylePr w:type="band1Vert">
      <w:rPr>
        <w:rFonts w:cs="DejaVu Sans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rFonts w:cs="DejaVu Sans"/>
        <w:b/>
        <w:color w:val="266779" w:themeColor="accent5" w:themeShade="95"/>
      </w:rPr>
    </w:tblStylePr>
    <w:tblStylePr w:type="firstCol">
      <w:rPr>
        <w:rFonts w:cs="DejaVu Sans"/>
        <w:b/>
        <w:color w:val="266779" w:themeColor="accent5" w:themeShade="95"/>
      </w:rPr>
    </w:tblStylePr>
    <w:tblStylePr w:type="lastCol">
      <w:rPr>
        <w:rFonts w:cs="DejaVu Sans"/>
        <w:b/>
        <w:color w:val="266779" w:themeColor="accent5" w:themeShade="95"/>
      </w:rPr>
    </w:tblStylePr>
    <w:tblStylePr w:type="band1Vert">
      <w:rPr>
        <w:rFonts w:cs="DejaVu Sans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 w:cs="DejaVu Sans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rFonts w:cs="DejaVu Sans"/>
        <w:b/>
        <w:color w:val="266779" w:themeColor="accent5" w:themeShade="95"/>
      </w:rPr>
    </w:tblStylePr>
    <w:tblStylePr w:type="firstCol">
      <w:rPr>
        <w:rFonts w:cs="DejaVu Sans"/>
        <w:b/>
        <w:color w:val="266779" w:themeColor="accent5" w:themeShade="95"/>
      </w:rPr>
    </w:tblStylePr>
    <w:tblStylePr w:type="lastCol">
      <w:rPr>
        <w:rFonts w:cs="DejaVu Sans"/>
        <w:b/>
        <w:color w:val="266779" w:themeColor="accent5" w:themeShade="95"/>
      </w:rPr>
    </w:tblStylePr>
    <w:tblStylePr w:type="band1Vert">
      <w:rPr>
        <w:rFonts w:cs="DejaVu Sans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 w:cs="DejaVu Sans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 w:cs="DejaVu Sans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 w:cs="DejaVu Sans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 w:cs="DejaVu Sans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 w:cs="DejaVu Sans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 w:cs="DejaVu Sans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 w:cs="DejaVu Sans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rFonts w:cs="DejaVu Sans"/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 w:cs="DejaVu Sans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 w:cs="DejaVu Sans"/>
        <w:b/>
        <w:color w:val="404040"/>
        <w:sz w:val="22"/>
      </w:rPr>
    </w:tblStylePr>
    <w:tblStylePr w:type="lastCol">
      <w:rPr>
        <w:rFonts w:ascii="Arial" w:hAnsi="Arial" w:cs="DejaVu Sans"/>
        <w:b/>
        <w:color w:val="404040"/>
        <w:sz w:val="22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cs="DejaVu Sans"/>
        <w:b/>
        <w:color w:val="404040"/>
      </w:rPr>
    </w:tblStylePr>
    <w:tblStylePr w:type="firstCol">
      <w:rPr>
        <w:rFonts w:cs="DejaVu Sans"/>
        <w:b/>
        <w:color w:val="404040"/>
      </w:rPr>
    </w:tblStylePr>
    <w:tblStylePr w:type="lastCol">
      <w:rPr>
        <w:rFonts w:cs="DejaVu Sans"/>
        <w:b/>
        <w:color w:val="404040"/>
      </w:rPr>
    </w:tblStylePr>
    <w:tblStylePr w:type="band1Vert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 w:cs="DejaVu Sans"/>
        <w:b/>
        <w:color w:val="FFFFFF" w:themeColor="light1"/>
        <w:sz w:val="22"/>
      </w:rPr>
    </w:tblStylePr>
    <w:tblStylePr w:type="firstCol">
      <w:rPr>
        <w:rFonts w:ascii="Arial" w:hAnsi="Arial" w:cs="DejaVu Sans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rPr>
        <w:rFonts w:cs="DejaVu Sans"/>
      </w:rPr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rPr>
        <w:rFonts w:cs="DejaVu Sans"/>
      </w:r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rPr>
        <w:rFonts w:cs="DejaVu Sans"/>
      </w:r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DejaVu Sans"/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DejaVu Sans"/>
        <w:b/>
        <w:color w:val="000000" w:themeColor="text1"/>
      </w:rPr>
    </w:tblStylePr>
    <w:tblStylePr w:type="lastCol">
      <w:rPr>
        <w:rFonts w:cs="DejaVu Sans"/>
        <w:b/>
        <w:color w:val="000000" w:themeColor="text1"/>
      </w:rPr>
    </w:tblStylePr>
    <w:tblStylePr w:type="band1Vert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 w:cs="DejaVu Sans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rFonts w:cs="DejaVu Sans"/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rFonts w:cs="DejaVu Sans"/>
        <w:b/>
        <w:color w:val="2A4A71" w:themeColor="accent1" w:themeShade="95"/>
      </w:rPr>
    </w:tblStylePr>
    <w:tblStylePr w:type="lastCol">
      <w:rPr>
        <w:rFonts w:cs="DejaVu Sans"/>
        <w:b/>
        <w:color w:val="2A4A71" w:themeColor="accent1" w:themeShade="95"/>
      </w:rPr>
    </w:tblStylePr>
    <w:tblStylePr w:type="band1Vert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 w:cs="DejaVu Sans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rFonts w:cs="DejaVu Sans"/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rFonts w:cs="DejaVu Sans"/>
        <w:b/>
        <w:color w:val="D99695" w:themeColor="accent2" w:themeTint="97" w:themeShade="95"/>
      </w:rPr>
    </w:tblStylePr>
    <w:tblStylePr w:type="lastCol">
      <w:rPr>
        <w:rFonts w:cs="DejaVu Sans"/>
        <w:b/>
        <w:color w:val="D99695" w:themeColor="accent2" w:themeTint="97" w:themeShade="95"/>
      </w:rPr>
    </w:tblStylePr>
    <w:tblStylePr w:type="band1Vert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rFonts w:cs="DejaVu Sans"/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rFonts w:cs="DejaVu Sans"/>
        <w:b/>
        <w:color w:val="C3D69B" w:themeColor="accent3" w:themeTint="98" w:themeShade="95"/>
      </w:rPr>
    </w:tblStylePr>
    <w:tblStylePr w:type="lastCol">
      <w:rPr>
        <w:rFonts w:cs="DejaVu Sans"/>
        <w:b/>
        <w:color w:val="C3D69B" w:themeColor="accent3" w:themeTint="98" w:themeShade="95"/>
      </w:rPr>
    </w:tblStylePr>
    <w:tblStylePr w:type="band1Vert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 w:cs="DejaVu Sans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rFonts w:cs="DejaVu Sans"/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rFonts w:cs="DejaVu Sans"/>
        <w:b/>
        <w:color w:val="B2A1C6" w:themeColor="accent4" w:themeTint="9A" w:themeShade="95"/>
      </w:rPr>
    </w:tblStylePr>
    <w:tblStylePr w:type="lastCol">
      <w:rPr>
        <w:rFonts w:cs="DejaVu Sans"/>
        <w:b/>
        <w:color w:val="B2A1C6" w:themeColor="accent4" w:themeTint="9A" w:themeShade="95"/>
      </w:rPr>
    </w:tblStylePr>
    <w:tblStylePr w:type="band1Vert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rFonts w:cs="DejaVu Sans"/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rFonts w:cs="DejaVu Sans"/>
        <w:b/>
        <w:color w:val="92CCDC" w:themeColor="accent5" w:themeTint="9A" w:themeShade="95"/>
      </w:rPr>
    </w:tblStylePr>
    <w:tblStylePr w:type="lastCol">
      <w:rPr>
        <w:rFonts w:cs="DejaVu Sans"/>
        <w:b/>
        <w:color w:val="92CCDC" w:themeColor="accent5" w:themeTint="9A" w:themeShade="95"/>
      </w:rPr>
    </w:tblStylePr>
    <w:tblStylePr w:type="band1Vert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 w:cs="DejaVu Sans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DejaVu Sans"/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rFonts w:cs="DejaVu Sans"/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rFonts w:cs="DejaVu Sans"/>
        <w:b/>
        <w:color w:val="FAC090" w:themeColor="accent6" w:themeTint="98" w:themeShade="95"/>
      </w:rPr>
    </w:tblStylePr>
    <w:tblStylePr w:type="lastCol">
      <w:rPr>
        <w:rFonts w:cs="DejaVu Sans"/>
        <w:b/>
        <w:color w:val="FAC090" w:themeColor="accent6" w:themeTint="98" w:themeShade="95"/>
      </w:rPr>
    </w:tblStylePr>
    <w:tblStylePr w:type="band1Vert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 w:cs="DejaVu Sans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 w:cs="DejaVu Sans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 w:cs="DejaVu Sans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 w:cs="DejaVu Sans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 w:cs="DejaVu Sans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 w:cs="DejaVu Sans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 w:cs="DejaVu Sans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 w:cs="DejaVu Sans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 w:cs="DejaVu Sans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 w:cs="DejaVu Sans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 w:cs="DejaVu Sans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 w:cs="DejaVu Sans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 w:cs="DejaVu Sans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 w:cs="DejaVu Sans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DejaVu Sans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 w:cs="DejaVu Sans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 w:cs="DejaVu Sans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rFonts w:cs="DejaVu Sans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 w:cs="DejaVu Sans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 w:cs="DejaVu Sans"/>
        <w:color w:val="404040"/>
        <w:sz w:val="22"/>
      </w:rPr>
    </w:tblStylePr>
    <w:tblStylePr w:type="band2Vert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 w:cs="DejaVu Sans"/>
        <w:color w:val="404040"/>
        <w:sz w:val="22"/>
      </w:rPr>
    </w:tblStylePr>
    <w:tblStylePr w:type="band2Horz">
      <w:rPr>
        <w:rFonts w:ascii="Arial" w:hAnsi="Arial" w:cs="DejaVu Sans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Pr>
      <w:rFonts w:cs="DejaVu Sans"/>
      <w:sz w:val="20"/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DejaVu Sans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DejaVu Sans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DejaVu Sans"/>
        <w:color w:val="404040"/>
        <w:sz w:val="22"/>
      </w:rPr>
    </w:tblStylePr>
    <w:tblStylePr w:type="lastCol">
      <w:rPr>
        <w:rFonts w:ascii="Arial" w:hAnsi="Arial" w:cs="DejaVu Sans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DejaVu Sans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rPr>
      <w:rFonts w:cs="Times New Roman"/>
      <w:sz w:val="18"/>
    </w:rPr>
  </w:style>
  <w:style w:type="character" w:styleId="af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basedOn w:val="1"/>
    <w:uiPriority w:val="39"/>
    <w:unhideWhenUsed/>
    <w:pPr>
      <w:keepNext w:val="0"/>
      <w:numPr>
        <w:numId w:val="0"/>
      </w:numPr>
      <w:tabs>
        <w:tab w:val="left" w:pos="0"/>
      </w:tabs>
      <w:spacing w:after="0"/>
      <w:outlineLvl w:val="9"/>
    </w:pPr>
    <w:rPr>
      <w:rFonts w:cs="DejaVu Sans"/>
      <w:b w:val="0"/>
      <w:bCs w:val="0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  <w:rPr>
      <w:color w:val="auto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4z0">
    <w:name w:val="WW8Num4z0"/>
    <w:qFormat/>
    <w:rPr>
      <w:color w:val="auto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6z0">
    <w:name w:val="WW8Num6z0"/>
    <w:qFormat/>
    <w:rPr>
      <w:color w:val="auto"/>
    </w:rPr>
  </w:style>
  <w:style w:type="character" w:customStyle="1" w:styleId="WW8Num9z0">
    <w:name w:val="WW8Num9z0"/>
    <w:qFormat/>
    <w:rPr>
      <w:color w:val="auto"/>
      <w:sz w:val="24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10z4">
    <w:name w:val="WW8Num10z4"/>
    <w:qFormat/>
    <w:rPr>
      <w:rFonts w:ascii="Courier New" w:hAnsi="Courier New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2z1">
    <w:name w:val="WW8Num12z1"/>
    <w:qFormat/>
    <w:rPr>
      <w:color w:val="auto"/>
      <w:sz w:val="20"/>
    </w:rPr>
  </w:style>
  <w:style w:type="character" w:customStyle="1" w:styleId="WW8Num12z4">
    <w:name w:val="WW8Num12z4"/>
    <w:qFormat/>
    <w:rPr>
      <w:rFonts w:ascii="Courier New" w:hAnsi="Courier New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4z0">
    <w:name w:val="WW8Num14z0"/>
    <w:qFormat/>
    <w:rPr>
      <w:color w:val="auto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5z0">
    <w:name w:val="WW8Num15z0"/>
    <w:qFormat/>
    <w:rPr>
      <w:color w:val="auto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7z4">
    <w:name w:val="WW8Num17z4"/>
    <w:qFormat/>
    <w:rPr>
      <w:rFonts w:ascii="Courier New" w:hAnsi="Courier New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9z2">
    <w:name w:val="WW8Num19z2"/>
    <w:qFormat/>
    <w:rPr>
      <w:color w:val="auto"/>
      <w:sz w:val="16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color w:val="auto"/>
    </w:rPr>
  </w:style>
  <w:style w:type="character" w:customStyle="1" w:styleId="WW8Num20z1">
    <w:name w:val="WW8Num20z1"/>
    <w:qFormat/>
    <w:rPr>
      <w:rFonts w:ascii="Courier New" w:hAnsi="Courier New"/>
    </w:rPr>
  </w:style>
  <w:style w:type="character" w:customStyle="1" w:styleId="WW8Num21z1">
    <w:name w:val="WW8Num21z1"/>
    <w:qFormat/>
    <w:rPr>
      <w:rFonts w:ascii="Courier New" w:hAnsi="Courier New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3z0">
    <w:name w:val="WW8Num23z0"/>
    <w:qFormat/>
    <w:rPr>
      <w:color w:val="auto"/>
    </w:rPr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4z1">
    <w:name w:val="WW8Num24z1"/>
    <w:qFormat/>
    <w:rPr>
      <w:rFonts w:ascii="Courier New" w:hAnsi="Courier New"/>
    </w:rPr>
  </w:style>
  <w:style w:type="character" w:customStyle="1" w:styleId="WW8Num25z0">
    <w:name w:val="WW8Num25z0"/>
    <w:qFormat/>
    <w:rPr>
      <w:color w:val="auto"/>
    </w:rPr>
  </w:style>
  <w:style w:type="character" w:customStyle="1" w:styleId="WW8Num25z1">
    <w:name w:val="WW8Num25z1"/>
    <w:qFormat/>
    <w:rPr>
      <w:rFonts w:ascii="Courier New" w:hAnsi="Courier New"/>
    </w:rPr>
  </w:style>
  <w:style w:type="character" w:customStyle="1" w:styleId="WW8Num26z1">
    <w:name w:val="WW8Num26z1"/>
    <w:qFormat/>
    <w:rPr>
      <w:rFonts w:ascii="Courier New" w:hAnsi="Courier New"/>
    </w:rPr>
  </w:style>
  <w:style w:type="character" w:customStyle="1" w:styleId="WW8Num27z1">
    <w:name w:val="WW8Num27z1"/>
    <w:qFormat/>
    <w:rPr>
      <w:rFonts w:ascii="Courier New" w:hAnsi="Courier New"/>
    </w:rPr>
  </w:style>
  <w:style w:type="character" w:customStyle="1" w:styleId="WW8Num29z1">
    <w:name w:val="WW8Num29z1"/>
    <w:qFormat/>
    <w:rPr>
      <w:rFonts w:ascii="Courier New" w:hAnsi="Courier New"/>
    </w:rPr>
  </w:style>
  <w:style w:type="character" w:customStyle="1" w:styleId="WW8Num30z1">
    <w:name w:val="WW8Num30z1"/>
    <w:qFormat/>
    <w:rPr>
      <w:rFonts w:ascii="Courier New" w:hAnsi="Courier New"/>
    </w:rPr>
  </w:style>
  <w:style w:type="character" w:customStyle="1" w:styleId="14">
    <w:name w:val="Основной шрифт абзаца1"/>
    <w:qFormat/>
  </w:style>
  <w:style w:type="character" w:customStyle="1" w:styleId="af5">
    <w:name w:val="Верхний колонтитул Знак"/>
    <w:qFormat/>
    <w:rPr>
      <w:sz w:val="24"/>
    </w:rPr>
  </w:style>
  <w:style w:type="character" w:customStyle="1" w:styleId="af6">
    <w:name w:val="Нижний колонтитул Знак"/>
    <w:qFormat/>
    <w:rPr>
      <w:sz w:val="24"/>
    </w:rPr>
  </w:style>
  <w:style w:type="character" w:styleId="af7">
    <w:name w:val="Strong"/>
    <w:basedOn w:val="a0"/>
    <w:uiPriority w:val="22"/>
    <w:qFormat/>
    <w:rPr>
      <w:rFonts w:cs="Times New Roman"/>
      <w:b/>
    </w:rPr>
  </w:style>
  <w:style w:type="character" w:customStyle="1" w:styleId="15">
    <w:name w:val="Дата1"/>
    <w:basedOn w:val="a0"/>
    <w:qFormat/>
    <w:rPr>
      <w:rFonts w:cs="Times New Roman"/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character" w:styleId="af9">
    <w:name w:val="Emphasis"/>
    <w:basedOn w:val="a0"/>
    <w:uiPriority w:val="20"/>
    <w:qFormat/>
    <w:rPr>
      <w:rFonts w:cs="Times New Roman"/>
      <w:i/>
    </w:rPr>
  </w:style>
  <w:style w:type="character" w:customStyle="1" w:styleId="24">
    <w:name w:val="Основной текст 2 Знак"/>
    <w:qFormat/>
    <w:rPr>
      <w:sz w:val="24"/>
    </w:rPr>
  </w:style>
  <w:style w:type="character" w:customStyle="1" w:styleId="25">
    <w:name w:val="Основной текст с отступом 2 Знак"/>
    <w:qFormat/>
    <w:rPr>
      <w:sz w:val="24"/>
      <w:lang w:val="en-US" w:eastAsia="ar-SA" w:bidi="ar-SA"/>
    </w:rPr>
  </w:style>
  <w:style w:type="character" w:customStyle="1" w:styleId="32">
    <w:name w:val="Основной текст 3 Знак"/>
    <w:qFormat/>
    <w:rPr>
      <w:sz w:val="16"/>
      <w:lang w:val="en-US" w:eastAsia="ar-SA" w:bidi="ar-SA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fa">
    <w:name w:val="Body Text"/>
    <w:basedOn w:val="a"/>
    <w:link w:val="afb"/>
    <w:uiPriority w:val="99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uiPriority w:val="99"/>
    <w:semiHidden/>
    <w:rPr>
      <w:rFonts w:cs="Times New Roman"/>
      <w:lang w:val="ru-RU" w:eastAsia="ar-SA" w:bidi="ar-SA"/>
    </w:rPr>
  </w:style>
  <w:style w:type="paragraph" w:styleId="afc">
    <w:name w:val="List"/>
    <w:basedOn w:val="afa"/>
    <w:uiPriority w:val="99"/>
    <w:rPr>
      <w:rFonts w:cs="Lohit Hindi"/>
    </w:rPr>
  </w:style>
  <w:style w:type="paragraph" w:styleId="afd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sz w:val="20"/>
      <w:szCs w:val="20"/>
    </w:rPr>
  </w:style>
  <w:style w:type="paragraph" w:customStyle="1" w:styleId="afe">
    <w:name w:val="Заголовок"/>
    <w:basedOn w:val="a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17">
    <w:name w:val="Название1"/>
    <w:basedOn w:val="a"/>
    <w:qFormat/>
    <w:pPr>
      <w:spacing w:before="120" w:after="120"/>
    </w:pPr>
    <w:rPr>
      <w:rFonts w:cs="Lohit Hindi"/>
      <w:i/>
      <w:iCs/>
    </w:rPr>
  </w:style>
  <w:style w:type="paragraph" w:customStyle="1" w:styleId="18">
    <w:name w:val="Указатель1"/>
    <w:basedOn w:val="a"/>
    <w:qFormat/>
    <w:rPr>
      <w:rFonts w:cs="Lohit Hindi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 Знак2"/>
    <w:basedOn w:val="a0"/>
    <w:uiPriority w:val="99"/>
    <w:semiHidden/>
    <w:rPr>
      <w:lang w:val="ru-RU" w:eastAsia="ar-SA"/>
    </w:rPr>
  </w:style>
  <w:style w:type="character" w:customStyle="1" w:styleId="240">
    <w:name w:val="Верхний колонтитул Знак24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30">
    <w:name w:val="Верхний колонтитул Знак23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20">
    <w:name w:val="Верхний колонтитул Знак22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10">
    <w:name w:val="Верхний колонтитул Знак21"/>
    <w:basedOn w:val="a0"/>
    <w:uiPriority w:val="99"/>
    <w:semiHidden/>
    <w:rPr>
      <w:rFonts w:cs="Times New Roman"/>
      <w:lang w:val="ru-RU" w:eastAsia="ar-SA" w:bidi="ar-SA"/>
    </w:rPr>
  </w:style>
  <w:style w:type="paragraph" w:styleId="aff">
    <w:name w:val="Balloon Text"/>
    <w:basedOn w:val="a"/>
    <w:link w:val="aff0"/>
    <w:uiPriority w:val="99"/>
    <w:qFormat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  <w:lang w:val="ru-RU" w:eastAsia="ar-SA" w:bidi="ar-SA"/>
    </w:r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27">
    <w:name w:val="Нижний колонтитул Знак2"/>
    <w:basedOn w:val="a0"/>
    <w:uiPriority w:val="99"/>
    <w:semiHidden/>
    <w:rPr>
      <w:lang w:val="ru-RU" w:eastAsia="ar-SA"/>
    </w:rPr>
  </w:style>
  <w:style w:type="character" w:customStyle="1" w:styleId="241">
    <w:name w:val="Нижний колонтитул Знак24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31">
    <w:name w:val="Нижний колонтитул Знак23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21">
    <w:name w:val="Нижний колонтитул Знак22"/>
    <w:basedOn w:val="a0"/>
    <w:uiPriority w:val="99"/>
    <w:semiHidden/>
    <w:rPr>
      <w:rFonts w:cs="Times New Roman"/>
      <w:lang w:val="ru-RU" w:eastAsia="ar-SA" w:bidi="ar-SA"/>
    </w:rPr>
  </w:style>
  <w:style w:type="character" w:customStyle="1" w:styleId="211">
    <w:name w:val="Нижний колонтитул Знак21"/>
    <w:basedOn w:val="a0"/>
    <w:uiPriority w:val="99"/>
    <w:semiHidden/>
    <w:rPr>
      <w:rFonts w:cs="Times New Roman"/>
      <w:lang w:val="ru-RU" w:eastAsia="ar-SA" w:bidi="ar-SA"/>
    </w:rPr>
  </w:style>
  <w:style w:type="paragraph" w:customStyle="1" w:styleId="aff1">
    <w:name w:val="Содержимое таблицы"/>
    <w:basedOn w:val="a"/>
    <w:qFormat/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Normal (Web)"/>
    <w:basedOn w:val="a"/>
    <w:uiPriority w:val="99"/>
    <w:qFormat/>
    <w:pPr>
      <w:spacing w:beforeAutospacing="1" w:afterAutospacing="1"/>
    </w:pPr>
    <w:rPr>
      <w:lang w:eastAsia="ru-RU"/>
    </w:rPr>
  </w:style>
  <w:style w:type="paragraph" w:styleId="af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8">
    <w:name w:val="Body Text 2"/>
    <w:basedOn w:val="a"/>
    <w:link w:val="212"/>
    <w:uiPriority w:val="99"/>
    <w:qFormat/>
    <w:pPr>
      <w:spacing w:after="120" w:line="480" w:lineRule="auto"/>
    </w:pPr>
    <w:rPr>
      <w:lang w:eastAsia="ru-RU"/>
    </w:rPr>
  </w:style>
  <w:style w:type="character" w:customStyle="1" w:styleId="212">
    <w:name w:val="Основной текст 2 Знак1"/>
    <w:basedOn w:val="a0"/>
    <w:link w:val="28"/>
    <w:uiPriority w:val="99"/>
    <w:semiHidden/>
    <w:rPr>
      <w:rFonts w:cs="Times New Roman"/>
      <w:lang w:val="ru-RU" w:eastAsia="ar-SA" w:bidi="ar-SA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hAnsi="Arial" w:cs="Arial"/>
      <w:sz w:val="20"/>
      <w:szCs w:val="20"/>
    </w:rPr>
  </w:style>
  <w:style w:type="paragraph" w:styleId="29">
    <w:name w:val="Body Text Indent 2"/>
    <w:basedOn w:val="a"/>
    <w:link w:val="213"/>
    <w:uiPriority w:val="99"/>
    <w:qFormat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0"/>
    <w:link w:val="29"/>
    <w:uiPriority w:val="99"/>
    <w:semiHidden/>
    <w:rPr>
      <w:rFonts w:cs="Times New Roman"/>
      <w:lang w:val="ru-RU" w:eastAsia="ar-SA" w:bidi="ar-SA"/>
    </w:rPr>
  </w:style>
  <w:style w:type="paragraph" w:styleId="33">
    <w:name w:val="Body Text 3"/>
    <w:basedOn w:val="a"/>
    <w:link w:val="310"/>
    <w:uiPriority w:val="99"/>
    <w:qFormat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Pr>
      <w:rFonts w:cs="Times New Roman"/>
      <w:sz w:val="16"/>
      <w:szCs w:val="16"/>
      <w:lang w:val="ru-RU" w:eastAsia="ar-SA" w:bidi="ar-SA"/>
    </w:rPr>
  </w:style>
  <w:style w:type="character" w:styleId="aff5">
    <w:name w:val="line number"/>
    <w:basedOn w:val="a0"/>
    <w:uiPriority w:val="99"/>
    <w:semiHidden/>
    <w:unhideWhenUsed/>
  </w:style>
  <w:style w:type="character" w:customStyle="1" w:styleId="extendedtext-full">
    <w:name w:val="extendedtext-full"/>
    <w:basedOn w:val="a0"/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EXP&amp;n=839745&amp;dst=100003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443D-C136-4C65-8A19-133DEFDD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26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/>
  <LinksUpToDate>false</LinksUpToDate>
  <CharactersWithSpaces>51026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creator>user32</dc:creator>
  <cp:lastModifiedBy>Управление экономики</cp:lastModifiedBy>
  <cp:revision>81</cp:revision>
  <dcterms:created xsi:type="dcterms:W3CDTF">2023-09-21T07:53:00Z</dcterms:created>
  <dcterms:modified xsi:type="dcterms:W3CDTF">2024-05-30T01:44:00Z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Управление экономики</vt:lpwstr>
  </property>
</Properties>
</file>