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3B" w:rsidRDefault="0029023B" w:rsidP="002902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29023B" w:rsidRPr="004976ED" w:rsidRDefault="0029023B" w:rsidP="002902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УТВЕРЖДЕНО</w:t>
      </w:r>
    </w:p>
    <w:p w:rsidR="0029023B" w:rsidRPr="004976ED" w:rsidRDefault="0029023B" w:rsidP="00290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постановлением</w:t>
      </w:r>
      <w:r w:rsidRPr="004976ED">
        <w:rPr>
          <w:sz w:val="28"/>
          <w:szCs w:val="28"/>
        </w:rPr>
        <w:t xml:space="preserve"> администрации</w:t>
      </w:r>
    </w:p>
    <w:p w:rsidR="0029023B" w:rsidRPr="004976ED" w:rsidRDefault="0029023B" w:rsidP="00290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4976ED">
        <w:rPr>
          <w:sz w:val="28"/>
          <w:szCs w:val="28"/>
        </w:rPr>
        <w:t>городского округа Большой Камень</w:t>
      </w:r>
    </w:p>
    <w:p w:rsidR="0029023B" w:rsidRPr="00881990" w:rsidRDefault="0029023B" w:rsidP="0029023B">
      <w:pPr>
        <w:pStyle w:val="a5"/>
        <w:spacing w:after="240"/>
        <w:rPr>
          <w:b w:val="0"/>
        </w:rPr>
      </w:pPr>
      <w:r>
        <w:t xml:space="preserve">                                                                        </w:t>
      </w:r>
      <w:r>
        <w:t xml:space="preserve">                                     </w:t>
      </w:r>
      <w:r>
        <w:t xml:space="preserve"> </w:t>
      </w:r>
      <w:r>
        <w:rPr>
          <w:b w:val="0"/>
        </w:rPr>
        <w:t>от  __________ № ________</w:t>
      </w:r>
    </w:p>
    <w:p w:rsidR="0029023B" w:rsidRDefault="0029023B">
      <w:pPr>
        <w:spacing w:before="70"/>
        <w:ind w:left="1341" w:right="1357"/>
        <w:jc w:val="center"/>
        <w:rPr>
          <w:b/>
          <w:sz w:val="24"/>
        </w:rPr>
      </w:pPr>
    </w:p>
    <w:p w:rsidR="002463B0" w:rsidRDefault="0029023B">
      <w:pPr>
        <w:spacing w:before="70"/>
        <w:ind w:left="1341" w:right="1357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МЕСТОПОЛОЖЕНИЯ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ГРАНИЦ</w:t>
      </w:r>
    </w:p>
    <w:p w:rsidR="002463B0" w:rsidRDefault="002463B0">
      <w:pPr>
        <w:spacing w:before="9"/>
        <w:rPr>
          <w:b/>
          <w:sz w:val="31"/>
        </w:rPr>
      </w:pPr>
    </w:p>
    <w:p w:rsidR="002463B0" w:rsidRDefault="0029023B">
      <w:pPr>
        <w:spacing w:before="1"/>
        <w:ind w:left="1341" w:right="1360"/>
        <w:jc w:val="center"/>
        <w:rPr>
          <w:b/>
          <w:sz w:val="24"/>
        </w:rPr>
      </w:pPr>
      <w:r>
        <w:rPr>
          <w:b/>
          <w:sz w:val="24"/>
        </w:rPr>
        <w:t>Публичный сервитут для использования земель и (или) земельных участков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эксплуатации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электросетевого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хозяйства</w:t>
      </w:r>
    </w:p>
    <w:p w:rsidR="002463B0" w:rsidRDefault="0029023B">
      <w:pPr>
        <w:ind w:left="1341" w:right="1358"/>
        <w:jc w:val="center"/>
        <w:rPr>
          <w:sz w:val="20"/>
        </w:rPr>
      </w:pPr>
      <w:proofErr w:type="gramStart"/>
      <w:r>
        <w:rPr>
          <w:b/>
          <w:sz w:val="24"/>
        </w:rPr>
        <w:t xml:space="preserve">«Строительство ЛЭП 6 </w:t>
      </w:r>
      <w:proofErr w:type="spellStart"/>
      <w:r>
        <w:rPr>
          <w:b/>
          <w:sz w:val="24"/>
        </w:rPr>
        <w:t>кВ</w:t>
      </w:r>
      <w:proofErr w:type="spellEnd"/>
      <w:r>
        <w:rPr>
          <w:b/>
          <w:sz w:val="24"/>
        </w:rPr>
        <w:t xml:space="preserve"> протяжённостью 1,8 км для электроснабжения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микрорайона «Нагорный», г. Большой Камень, заявитель АО «КРДВ»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 описано</w:t>
      </w:r>
      <w:r>
        <w:rPr>
          <w:spacing w:val="-3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2463B0" w:rsidRDefault="002463B0"/>
    <w:p w:rsidR="002463B0" w:rsidRDefault="002463B0">
      <w:pPr>
        <w:spacing w:before="6"/>
        <w:rPr>
          <w:sz w:val="17"/>
        </w:rPr>
      </w:pPr>
    </w:p>
    <w:p w:rsidR="002463B0" w:rsidRDefault="0029023B">
      <w:pPr>
        <w:spacing w:before="1" w:after="40"/>
        <w:ind w:left="1341" w:right="135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686"/>
        <w:gridCol w:w="8920"/>
      </w:tblGrid>
      <w:tr w:rsidR="002463B0" w:rsidTr="0029023B">
        <w:trPr>
          <w:trHeight w:val="317"/>
        </w:trPr>
        <w:tc>
          <w:tcPr>
            <w:tcW w:w="13495" w:type="dxa"/>
            <w:gridSpan w:val="3"/>
          </w:tcPr>
          <w:p w:rsidR="002463B0" w:rsidRDefault="0029023B">
            <w:pPr>
              <w:pStyle w:val="TableParagraph"/>
              <w:ind w:left="4246" w:right="4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объекте</w:t>
            </w:r>
          </w:p>
        </w:tc>
      </w:tr>
      <w:tr w:rsidR="002463B0" w:rsidTr="0029023B">
        <w:trPr>
          <w:trHeight w:val="316"/>
        </w:trPr>
        <w:tc>
          <w:tcPr>
            <w:tcW w:w="889" w:type="dxa"/>
          </w:tcPr>
          <w:p w:rsidR="002463B0" w:rsidRDefault="0029023B">
            <w:pPr>
              <w:pStyle w:val="TableParagraph"/>
              <w:spacing w:line="275" w:lineRule="exact"/>
              <w:ind w:left="6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6" w:type="dxa"/>
          </w:tcPr>
          <w:p w:rsidR="002463B0" w:rsidRDefault="0029023B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8920" w:type="dxa"/>
          </w:tcPr>
          <w:p w:rsidR="002463B0" w:rsidRDefault="0029023B">
            <w:pPr>
              <w:pStyle w:val="TableParagraph"/>
              <w:ind w:left="172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</w:p>
        </w:tc>
      </w:tr>
      <w:tr w:rsidR="002463B0" w:rsidTr="0029023B">
        <w:trPr>
          <w:trHeight w:val="317"/>
        </w:trPr>
        <w:tc>
          <w:tcPr>
            <w:tcW w:w="889" w:type="dxa"/>
          </w:tcPr>
          <w:p w:rsidR="002463B0" w:rsidRDefault="0029023B">
            <w:pPr>
              <w:pStyle w:val="TableParagraph"/>
              <w:ind w:left="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6" w:type="dxa"/>
          </w:tcPr>
          <w:p w:rsidR="002463B0" w:rsidRDefault="0029023B">
            <w:pPr>
              <w:pStyle w:val="TableParagraph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0" w:type="dxa"/>
          </w:tcPr>
          <w:p w:rsidR="002463B0" w:rsidRDefault="0029023B">
            <w:pPr>
              <w:pStyle w:val="TableParagraph"/>
              <w:spacing w:before="1"/>
              <w:ind w:left="0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463B0" w:rsidTr="0029023B">
        <w:trPr>
          <w:trHeight w:val="317"/>
        </w:trPr>
        <w:tc>
          <w:tcPr>
            <w:tcW w:w="889" w:type="dxa"/>
          </w:tcPr>
          <w:p w:rsidR="002463B0" w:rsidRDefault="0029023B">
            <w:pPr>
              <w:pStyle w:val="TableParagraph"/>
              <w:spacing w:before="18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2463B0" w:rsidRDefault="0029023B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Местоположение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8920" w:type="dxa"/>
          </w:tcPr>
          <w:p w:rsidR="002463B0" w:rsidRDefault="0029023B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Приморский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</w:p>
        </w:tc>
      </w:tr>
      <w:tr w:rsidR="002463B0" w:rsidTr="0029023B">
        <w:trPr>
          <w:trHeight w:val="827"/>
        </w:trPr>
        <w:tc>
          <w:tcPr>
            <w:tcW w:w="889" w:type="dxa"/>
          </w:tcPr>
          <w:p w:rsidR="002463B0" w:rsidRDefault="002463B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463B0" w:rsidRDefault="0029023B">
            <w:pPr>
              <w:pStyle w:val="TableParagraph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2463B0" w:rsidRDefault="0029023B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±величина</w:t>
            </w:r>
          </w:p>
          <w:p w:rsidR="002463B0" w:rsidRDefault="0029023B">
            <w:pPr>
              <w:pStyle w:val="TableParagraph"/>
              <w:spacing w:line="270" w:lineRule="atLeast"/>
              <w:ind w:left="33" w:right="919"/>
              <w:rPr>
                <w:sz w:val="24"/>
              </w:rPr>
            </w:pPr>
            <w:r>
              <w:rPr>
                <w:sz w:val="24"/>
              </w:rPr>
              <w:t>погрешности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(P±∆P)</w:t>
            </w:r>
          </w:p>
        </w:tc>
        <w:tc>
          <w:tcPr>
            <w:tcW w:w="8920" w:type="dxa"/>
          </w:tcPr>
          <w:p w:rsidR="002463B0" w:rsidRDefault="0029023B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11092±37</w:t>
            </w:r>
          </w:p>
        </w:tc>
      </w:tr>
      <w:tr w:rsidR="002463B0" w:rsidTr="0029023B">
        <w:trPr>
          <w:trHeight w:val="4140"/>
        </w:trPr>
        <w:tc>
          <w:tcPr>
            <w:tcW w:w="889" w:type="dxa"/>
          </w:tcPr>
          <w:p w:rsidR="002463B0" w:rsidRDefault="002463B0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2463B0" w:rsidRDefault="0029023B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8920" w:type="dxa"/>
          </w:tcPr>
          <w:p w:rsidR="002463B0" w:rsidRDefault="0029023B">
            <w:pPr>
              <w:pStyle w:val="TableParagraph"/>
              <w:ind w:left="35" w:right="95" w:firstLine="540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в целях строительства и 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электросетевого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2463B0" w:rsidRDefault="0029023B">
            <w:pPr>
              <w:pStyle w:val="TableParagraph"/>
              <w:tabs>
                <w:tab w:val="left" w:pos="2707"/>
                <w:tab w:val="left" w:pos="4832"/>
              </w:tabs>
              <w:ind w:left="35" w:right="96"/>
              <w:rPr>
                <w:sz w:val="24"/>
              </w:rPr>
            </w:pPr>
            <w:r>
              <w:rPr>
                <w:sz w:val="24"/>
              </w:rPr>
              <w:t xml:space="preserve">«Строительство ЛЭП 6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протяжённостью 1,8 км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электроснабжения микрорайона </w:t>
            </w:r>
            <w:r>
              <w:rPr>
                <w:spacing w:val="-1"/>
                <w:sz w:val="24"/>
              </w:rPr>
              <w:t>«Нагорный»,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Камень,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«КРДВ»,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39.37 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2463B0" w:rsidRDefault="0029023B">
            <w:pPr>
              <w:pStyle w:val="TableParagraph"/>
              <w:spacing w:line="275" w:lineRule="exact"/>
              <w:ind w:left="69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публичног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2463B0" w:rsidRDefault="0029023B" w:rsidP="0029023B">
            <w:pPr>
              <w:pStyle w:val="TableParagraph"/>
              <w:ind w:left="35" w:right="94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«Дальневосточная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2801108200,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ОГРН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1052800111308.</w:t>
            </w:r>
          </w:p>
          <w:p w:rsidR="002463B0" w:rsidRDefault="0029023B">
            <w:pPr>
              <w:pStyle w:val="TableParagraph"/>
              <w:ind w:left="35" w:right="95"/>
              <w:jc w:val="bot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690080,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Владивосток, ул.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Командорская</w:t>
            </w:r>
            <w:proofErr w:type="gramEnd"/>
            <w:r>
              <w:rPr>
                <w:sz w:val="24"/>
              </w:rPr>
              <w:t>, 13А,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1154CC"/>
                  <w:sz w:val="24"/>
                  <w:u w:val="single" w:color="1154CC"/>
                </w:rPr>
                <w:t>doc@prim.drsk.ru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(423)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222-32-12.</w:t>
            </w:r>
          </w:p>
        </w:tc>
      </w:tr>
    </w:tbl>
    <w:p w:rsidR="002463B0" w:rsidRDefault="002463B0">
      <w:pPr>
        <w:spacing w:before="4"/>
        <w:rPr>
          <w:b/>
          <w:sz w:val="23"/>
        </w:rPr>
      </w:pPr>
    </w:p>
    <w:p w:rsidR="002463B0" w:rsidRDefault="0029023B">
      <w:pPr>
        <w:spacing w:after="41"/>
        <w:ind w:left="1341" w:right="135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466"/>
        <w:gridCol w:w="1558"/>
        <w:gridCol w:w="3298"/>
        <w:gridCol w:w="2977"/>
        <w:gridCol w:w="2551"/>
      </w:tblGrid>
      <w:tr w:rsidR="002463B0" w:rsidTr="0029023B">
        <w:trPr>
          <w:trHeight w:val="359"/>
        </w:trPr>
        <w:tc>
          <w:tcPr>
            <w:tcW w:w="13500" w:type="dxa"/>
            <w:gridSpan w:val="6"/>
          </w:tcPr>
          <w:p w:rsidR="002463B0" w:rsidRDefault="0029023B">
            <w:pPr>
              <w:pStyle w:val="TableParagraph"/>
              <w:spacing w:line="275" w:lineRule="exact"/>
              <w:ind w:left="2905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местоположении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2463B0" w:rsidTr="0029023B">
        <w:trPr>
          <w:trHeight w:val="360"/>
        </w:trPr>
        <w:tc>
          <w:tcPr>
            <w:tcW w:w="13500" w:type="dxa"/>
            <w:gridSpan w:val="6"/>
          </w:tcPr>
          <w:p w:rsidR="002463B0" w:rsidRDefault="0029023B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b/>
                <w:sz w:val="24"/>
              </w:rPr>
              <w:t>1.Система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МСК-25,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зона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</w:p>
        </w:tc>
      </w:tr>
      <w:tr w:rsidR="002463B0" w:rsidTr="0029023B">
        <w:trPr>
          <w:trHeight w:val="359"/>
        </w:trPr>
        <w:tc>
          <w:tcPr>
            <w:tcW w:w="13500" w:type="dxa"/>
            <w:gridSpan w:val="6"/>
          </w:tcPr>
          <w:p w:rsidR="002463B0" w:rsidRDefault="0029023B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2463B0" w:rsidTr="0029023B">
        <w:trPr>
          <w:trHeight w:val="359"/>
        </w:trPr>
        <w:tc>
          <w:tcPr>
            <w:tcW w:w="1650" w:type="dxa"/>
            <w:vMerge w:val="restart"/>
            <w:tcBorders>
              <w:bottom w:val="nil"/>
            </w:tcBorders>
          </w:tcPr>
          <w:p w:rsidR="002463B0" w:rsidRDefault="0029023B">
            <w:pPr>
              <w:pStyle w:val="TableParagraph"/>
              <w:spacing w:before="39"/>
              <w:ind w:left="63" w:right="120" w:firstLine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</w:t>
            </w:r>
          </w:p>
        </w:tc>
        <w:tc>
          <w:tcPr>
            <w:tcW w:w="3024" w:type="dxa"/>
            <w:gridSpan w:val="2"/>
          </w:tcPr>
          <w:p w:rsidR="002463B0" w:rsidRDefault="0029023B">
            <w:pPr>
              <w:pStyle w:val="TableParagraph"/>
              <w:spacing w:before="50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Координаты,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</w:p>
        </w:tc>
        <w:tc>
          <w:tcPr>
            <w:tcW w:w="3298" w:type="dxa"/>
            <w:vMerge w:val="restart"/>
          </w:tcPr>
          <w:p w:rsidR="002463B0" w:rsidRDefault="0029023B">
            <w:pPr>
              <w:pStyle w:val="TableParagraph"/>
              <w:ind w:left="286" w:right="34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463B0" w:rsidRDefault="0029023B">
            <w:pPr>
              <w:pStyle w:val="TableParagraph"/>
              <w:spacing w:line="276" w:lineRule="exact"/>
              <w:ind w:left="5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квадратическая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2463B0" w:rsidRDefault="0029023B">
            <w:pPr>
              <w:pStyle w:val="TableParagraph"/>
              <w:spacing w:line="276" w:lineRule="exact"/>
              <w:ind w:left="80" w:right="13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2463B0" w:rsidTr="0029023B">
        <w:trPr>
          <w:trHeight w:val="1009"/>
        </w:trPr>
        <w:tc>
          <w:tcPr>
            <w:tcW w:w="1650" w:type="dxa"/>
            <w:vMerge/>
            <w:tcBorders>
              <w:top w:val="nil"/>
              <w:bottom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bottom w:val="nil"/>
            </w:tcBorders>
          </w:tcPr>
          <w:p w:rsidR="002463B0" w:rsidRDefault="002463B0">
            <w:pPr>
              <w:pStyle w:val="TableParagraph"/>
              <w:ind w:left="0"/>
              <w:rPr>
                <w:b/>
                <w:sz w:val="26"/>
              </w:rPr>
            </w:pPr>
          </w:p>
          <w:p w:rsidR="002463B0" w:rsidRDefault="0029023B">
            <w:pPr>
              <w:pStyle w:val="TableParagraph"/>
              <w:spacing w:before="20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558" w:type="dxa"/>
            <w:tcBorders>
              <w:bottom w:val="nil"/>
            </w:tcBorders>
          </w:tcPr>
          <w:p w:rsidR="002463B0" w:rsidRDefault="002463B0">
            <w:pPr>
              <w:pStyle w:val="TableParagraph"/>
              <w:ind w:left="0"/>
              <w:rPr>
                <w:b/>
                <w:sz w:val="26"/>
              </w:rPr>
            </w:pPr>
          </w:p>
          <w:p w:rsidR="002463B0" w:rsidRDefault="0029023B">
            <w:pPr>
              <w:pStyle w:val="TableParagraph"/>
              <w:spacing w:before="205"/>
              <w:ind w:left="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</w:tr>
      <w:tr w:rsidR="002463B0" w:rsidTr="0029023B">
        <w:trPr>
          <w:trHeight w:val="265"/>
        </w:trPr>
        <w:tc>
          <w:tcPr>
            <w:tcW w:w="1650" w:type="dxa"/>
            <w:tcBorders>
              <w:top w:val="nil"/>
            </w:tcBorders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463B0" w:rsidRDefault="0029023B">
            <w:pPr>
              <w:pStyle w:val="TableParagraph"/>
              <w:spacing w:line="246" w:lineRule="exact"/>
              <w:ind w:left="707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Mt</w:t>
            </w:r>
            <w:proofErr w:type="spellEnd"/>
            <w:r>
              <w:rPr>
                <w:b/>
                <w:sz w:val="24"/>
              </w:rPr>
              <w:t>), м</w:t>
            </w:r>
          </w:p>
        </w:tc>
        <w:tc>
          <w:tcPr>
            <w:tcW w:w="2551" w:type="dxa"/>
            <w:tcBorders>
              <w:top w:val="nil"/>
            </w:tcBorders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463B0" w:rsidTr="0029023B">
        <w:trPr>
          <w:trHeight w:val="275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56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56" w:lineRule="exact"/>
              <w:ind w:left="0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56" w:lineRule="exact"/>
              <w:ind w:left="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56" w:lineRule="exact"/>
              <w:ind w:left="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line="256" w:lineRule="exact"/>
              <w:ind w:left="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line="256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24"/>
              <w:ind w:left="735"/>
            </w:pPr>
            <w:r>
              <w:rPr>
                <w:w w:val="99"/>
              </w:rPr>
              <w:t>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24"/>
              <w:ind w:left="213" w:right="267"/>
              <w:jc w:val="center"/>
            </w:pPr>
            <w:r>
              <w:t>358895.44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24"/>
              <w:ind w:left="204" w:right="258"/>
              <w:jc w:val="center"/>
            </w:pPr>
            <w:r>
              <w:t>2187738.07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54" w:lineRule="exact"/>
              <w:ind w:left="702" w:right="286" w:hanging="455"/>
            </w:pPr>
            <w:r>
              <w:t>Аналитический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3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2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3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22"/>
              <w:ind w:left="735"/>
            </w:pPr>
            <w:r>
              <w:rPr>
                <w:w w:val="99"/>
              </w:rPr>
              <w:t>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22"/>
              <w:ind w:left="213" w:right="267"/>
              <w:jc w:val="center"/>
            </w:pPr>
            <w:r>
              <w:t>358901.72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22"/>
              <w:ind w:left="204" w:right="258"/>
              <w:jc w:val="center"/>
            </w:pPr>
            <w:r>
              <w:t>2187740.87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9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3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34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26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24"/>
              <w:ind w:left="735"/>
            </w:pPr>
            <w:r>
              <w:rPr>
                <w:w w:val="99"/>
              </w:rPr>
              <w:t>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24"/>
              <w:ind w:left="213" w:right="267"/>
              <w:jc w:val="center"/>
            </w:pPr>
            <w:r>
              <w:t>358901.16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24"/>
              <w:ind w:left="204" w:right="258"/>
              <w:jc w:val="center"/>
            </w:pPr>
            <w:r>
              <w:t>2187741.90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54" w:lineRule="exact"/>
              <w:ind w:left="702" w:right="286" w:hanging="455"/>
            </w:pPr>
            <w:r>
              <w:t>Аналитический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3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2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4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22"/>
              <w:ind w:left="735"/>
            </w:pPr>
            <w:r>
              <w:rPr>
                <w:w w:val="99"/>
              </w:rPr>
              <w:t>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22"/>
              <w:ind w:left="213" w:right="267"/>
              <w:jc w:val="center"/>
            </w:pPr>
            <w:r>
              <w:t>358884.30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22"/>
              <w:ind w:left="204" w:right="258"/>
              <w:jc w:val="center"/>
            </w:pPr>
            <w:r>
              <w:t>2187750.38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52" w:lineRule="exact"/>
              <w:ind w:left="702" w:right="286" w:hanging="455"/>
            </w:pPr>
            <w:r>
              <w:t>Аналитический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34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26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4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34" w:lineRule="exact"/>
              <w:ind w:left="735"/>
            </w:pPr>
            <w:r>
              <w:rPr>
                <w:w w:val="99"/>
              </w:rPr>
              <w:t>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34" w:lineRule="exact"/>
              <w:ind w:left="213" w:right="267"/>
              <w:jc w:val="center"/>
            </w:pPr>
            <w:r>
              <w:t>358876.31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34" w:lineRule="exact"/>
              <w:ind w:left="204" w:right="258"/>
              <w:jc w:val="center"/>
            </w:pPr>
            <w:r>
              <w:t>2187747.90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34" w:lineRule="exact"/>
              <w:ind w:left="228" w:right="283"/>
              <w:jc w:val="center"/>
            </w:pPr>
            <w:r>
              <w:t>Аналитический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8" w:line="225" w:lineRule="exact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2" w:line="232" w:lineRule="exact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735"/>
            </w:pPr>
            <w:r>
              <w:rPr>
                <w:w w:val="99"/>
              </w:rPr>
              <w:t>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358845.83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2187741.91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735"/>
            </w:pPr>
            <w:r>
              <w:rPr>
                <w:w w:val="99"/>
              </w:rPr>
              <w:t>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358835.25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2187740.38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735"/>
            </w:pPr>
            <w:r>
              <w:rPr>
                <w:w w:val="99"/>
              </w:rPr>
              <w:t>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358823.44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2187739.05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735"/>
            </w:pPr>
            <w:r>
              <w:rPr>
                <w:w w:val="99"/>
              </w:rPr>
              <w:t>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358810.58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2187735.12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358804.11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2187725.25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358779.82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2187720.00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358751.74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2187723.51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lastRenderedPageBreak/>
              <w:t>13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358735.25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2187734.68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358731.59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2187736.50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358703.31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2187750.55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358698.61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2187752.89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358691.79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2187755.07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358687.22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2187758.55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19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358682.54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2187760.88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358683.09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2187761.70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358680.26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2187763.85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358672.25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2187753.58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358665.43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2187748.35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358650.35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2187742.94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358641.67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2187739.48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26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358630.19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2187734.92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27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358629.98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2187736.61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28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358615.08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2187734.34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29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358587.16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2187727.54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30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358546.96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2187732.49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31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358535.85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2187737.79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32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358512.73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2187740.63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4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33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358475.97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2187742.58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7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358451.81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2187747.44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358434.53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2187740.92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358420.47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2187730.92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358390.96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2187762.31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358289.81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2187748.07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39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358287.87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2187771.78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358285.77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2187771.73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358284.67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2187799.74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358285.47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2187801.06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358273.29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2187949.80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358234.01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2187950.63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358229.62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2188115.90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358173.12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2188116.20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358173.39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2188140.67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358176.98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2188152.15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49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358174.60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2188183.96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2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33" w:lineRule="exact"/>
              <w:ind w:left="680"/>
            </w:pPr>
            <w:r>
              <w:t>50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33" w:lineRule="exact"/>
              <w:ind w:left="231"/>
            </w:pPr>
            <w:r>
              <w:t>358063.59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33" w:lineRule="exact"/>
              <w:ind w:left="222"/>
            </w:pPr>
            <w:r>
              <w:t>2188190.40</w:t>
            </w:r>
          </w:p>
        </w:tc>
        <w:tc>
          <w:tcPr>
            <w:tcW w:w="3298" w:type="dxa"/>
            <w:vMerge w:val="restart"/>
          </w:tcPr>
          <w:p w:rsidR="002463B0" w:rsidRDefault="0029023B">
            <w:pPr>
              <w:pStyle w:val="TableParagraph"/>
              <w:ind w:left="702" w:right="286" w:hanging="455"/>
            </w:pPr>
            <w:r>
              <w:t>Аналитический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line="233" w:lineRule="exact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2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33" w:lineRule="exact"/>
              <w:ind w:left="680"/>
            </w:pPr>
            <w:r>
              <w:t>51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33" w:lineRule="exact"/>
              <w:ind w:left="231"/>
            </w:pPr>
            <w:r>
              <w:t>358042.42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33" w:lineRule="exact"/>
              <w:ind w:left="222"/>
            </w:pPr>
            <w:r>
              <w:t>2188085.58</w:t>
            </w:r>
          </w:p>
        </w:tc>
        <w:tc>
          <w:tcPr>
            <w:tcW w:w="3298" w:type="dxa"/>
            <w:vMerge/>
            <w:tcBorders>
              <w:top w:val="nil"/>
            </w:tcBorders>
          </w:tcPr>
          <w:p w:rsidR="002463B0" w:rsidRDefault="002463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line="233" w:lineRule="exact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358034.68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2188076.90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358028.12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2188045.59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358015.42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2188030.72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lastRenderedPageBreak/>
              <w:t>55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358011.46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2188029.84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357999.06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2188053.93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357972.83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2188060.36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357983.14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2188111.18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59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357977.26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2188112.37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357966.40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2188058.88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357962.67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2188046.78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62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357943.37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2188050.28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63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357938.21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2188051.16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64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357929.29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2188053.70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2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33" w:lineRule="exact"/>
              <w:ind w:left="680"/>
            </w:pPr>
            <w:r>
              <w:t>65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33" w:lineRule="exact"/>
              <w:ind w:left="231"/>
            </w:pPr>
            <w:r>
              <w:t>357917.86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33" w:lineRule="exact"/>
              <w:ind w:left="222"/>
            </w:pPr>
            <w:r>
              <w:t>2188059.75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33" w:lineRule="exact"/>
              <w:ind w:left="248"/>
            </w:pPr>
            <w:r>
              <w:t>Аналитический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line="233" w:lineRule="exact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357904.29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2188077.57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357890.74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2188077.59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357879.58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2188091.79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69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357869.98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2188113.16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357799.45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2188113.38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357799.36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2188099.39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357805.36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2188099.39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357805.41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2188107.36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357866.09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2188107.17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357874.41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2188088.66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357887.82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2188071.60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357901.32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2188071.57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357913.89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2188055.07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79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357924.70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2188049.35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357919.35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2188021.88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357903.45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2188016.84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357885.49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2188009.53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357879.91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2188004.25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357879.12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2188000.90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357884.96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2187999.53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86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357885.33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2188001.13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87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357888.79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2188004.40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88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357905.49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2188011.19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89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357924.56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2188017.24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90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357930.38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2188047.16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91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357936.88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2188045.31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92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357942.33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2188044.37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4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80"/>
            </w:pPr>
            <w:r>
              <w:t>93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357966.83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2188039.93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7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80"/>
            </w:pPr>
            <w:r>
              <w:t>94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357971.35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2188054.55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95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357994.98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2188048.75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96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358008.25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2188022.97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lastRenderedPageBreak/>
              <w:t>97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358018.68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2188025.30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98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358033.68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2188042.86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99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358038.12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2188064.03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358040.23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2188074.11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358047.98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2188082.79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358068.44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2188184.11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358169.01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2188178.27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358170.91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2188152.84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358168.11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2188143.88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358170.09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2188143.65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358167.25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2188128.40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358167.05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2188110.22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109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358221.71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2188109.94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110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358223.82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2188109.98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111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358225.11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2188070.42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3"/>
              <w:jc w:val="center"/>
            </w:pPr>
            <w:r>
              <w:t>112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358224.83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2188070.35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358228.16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2187944.75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358267.76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2187943.92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358284.35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2187741.24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358388.71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2187755.94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358411.99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2187731.19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4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118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358419.83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2187723.10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119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358437.37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2187735.58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358452.32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2187741.22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358475.22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2187736.61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358512.21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2187734.64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358534.15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2187731.96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4"/>
        </w:trPr>
        <w:tc>
          <w:tcPr>
            <w:tcW w:w="1650" w:type="dxa"/>
          </w:tcPr>
          <w:p w:rsidR="002463B0" w:rsidRDefault="0029023B">
            <w:pPr>
              <w:pStyle w:val="TableParagraph"/>
              <w:spacing w:line="234" w:lineRule="exact"/>
              <w:ind w:left="606" w:right="662"/>
              <w:jc w:val="center"/>
            </w:pPr>
            <w:r>
              <w:t>124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line="234" w:lineRule="exact"/>
              <w:ind w:left="231"/>
            </w:pPr>
            <w:r>
              <w:t>358545.26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line="234" w:lineRule="exact"/>
              <w:ind w:left="222"/>
            </w:pPr>
            <w:r>
              <w:t>2187726.66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34" w:lineRule="exact"/>
              <w:ind w:left="248"/>
            </w:pPr>
            <w:r>
              <w:t>Аналитический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line="234" w:lineRule="exact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252"/>
        </w:trPr>
        <w:tc>
          <w:tcPr>
            <w:tcW w:w="1650" w:type="dxa"/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3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</w:tcPr>
          <w:p w:rsidR="002463B0" w:rsidRDefault="002463B0">
            <w:pPr>
              <w:pStyle w:val="TableParagraph"/>
              <w:ind w:left="0"/>
              <w:rPr>
                <w:sz w:val="18"/>
              </w:rPr>
            </w:pP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358587.52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2187721.45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358616.24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2187728.45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2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358636.22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2187731.49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358668.34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2187743.02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3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3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129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358672.26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2187746.03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358680.73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2187758.44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358693.32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2187748.28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358700.11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2187746.11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358700.64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2187747.21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2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7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358729.22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2187732.94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358730.38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2187730.62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358731.08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2187730.26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137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358749.57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2187717.74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lastRenderedPageBreak/>
              <w:t>138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358780.09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2187713.92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139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358807.78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2187719.90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140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358814.48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2187730.04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358815.79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2187732.60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142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358837.90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2187734.70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143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358840.99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2187734.99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144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358846.84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2187735.99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5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5"/>
              <w:ind w:left="606" w:right="662"/>
              <w:jc w:val="center"/>
            </w:pPr>
            <w:r>
              <w:t>145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5"/>
              <w:ind w:left="231"/>
            </w:pPr>
            <w:r>
              <w:t>358877.78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5"/>
              <w:ind w:left="222"/>
            </w:pPr>
            <w:r>
              <w:t>2187742.07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9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606" w:right="662"/>
              <w:jc w:val="center"/>
            </w:pPr>
            <w:r>
              <w:t>146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358883.77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2187743.93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  <w:tr w:rsidR="002463B0" w:rsidTr="0029023B">
        <w:trPr>
          <w:trHeight w:val="506"/>
        </w:trPr>
        <w:tc>
          <w:tcPr>
            <w:tcW w:w="1650" w:type="dxa"/>
          </w:tcPr>
          <w:p w:rsidR="002463B0" w:rsidRDefault="0029023B">
            <w:pPr>
              <w:pStyle w:val="TableParagraph"/>
              <w:spacing w:before="114"/>
              <w:ind w:left="0" w:right="5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466" w:type="dxa"/>
          </w:tcPr>
          <w:p w:rsidR="002463B0" w:rsidRDefault="0029023B">
            <w:pPr>
              <w:pStyle w:val="TableParagraph"/>
              <w:spacing w:before="114"/>
              <w:ind w:left="231"/>
            </w:pPr>
            <w:r>
              <w:t>358895.44</w:t>
            </w:r>
          </w:p>
        </w:tc>
        <w:tc>
          <w:tcPr>
            <w:tcW w:w="1558" w:type="dxa"/>
          </w:tcPr>
          <w:p w:rsidR="002463B0" w:rsidRDefault="0029023B">
            <w:pPr>
              <w:pStyle w:val="TableParagraph"/>
              <w:spacing w:before="114"/>
              <w:ind w:left="222"/>
            </w:pPr>
            <w:r>
              <w:t>2187738.07</w:t>
            </w:r>
          </w:p>
        </w:tc>
        <w:tc>
          <w:tcPr>
            <w:tcW w:w="3298" w:type="dxa"/>
          </w:tcPr>
          <w:p w:rsidR="002463B0" w:rsidRDefault="0029023B">
            <w:pPr>
              <w:pStyle w:val="TableParagraph"/>
              <w:spacing w:line="241" w:lineRule="exact"/>
              <w:ind w:left="228" w:right="283"/>
              <w:jc w:val="center"/>
            </w:pPr>
            <w:r>
              <w:t>Аналитический</w:t>
            </w:r>
          </w:p>
          <w:p w:rsidR="002463B0" w:rsidRDefault="0029023B">
            <w:pPr>
              <w:pStyle w:val="TableParagraph"/>
              <w:spacing w:line="244" w:lineRule="exact"/>
              <w:ind w:right="283"/>
              <w:jc w:val="center"/>
            </w:pPr>
            <w:r>
              <w:t>метод</w:t>
            </w:r>
          </w:p>
        </w:tc>
        <w:tc>
          <w:tcPr>
            <w:tcW w:w="2977" w:type="dxa"/>
          </w:tcPr>
          <w:p w:rsidR="002463B0" w:rsidRDefault="0029023B">
            <w:pPr>
              <w:pStyle w:val="TableParagraph"/>
              <w:spacing w:before="126"/>
              <w:ind w:left="705" w:right="7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2551" w:type="dxa"/>
          </w:tcPr>
          <w:p w:rsidR="002463B0" w:rsidRDefault="0029023B">
            <w:pPr>
              <w:pStyle w:val="TableParagraph"/>
              <w:spacing w:before="118"/>
              <w:ind w:left="830"/>
              <w:rPr>
                <w:rFonts w:ascii="Microsoft Sans Serif"/>
              </w:rPr>
            </w:pPr>
            <w:r>
              <w:rPr>
                <w:rFonts w:ascii="Microsoft Sans Serif"/>
                <w:w w:val="99"/>
              </w:rPr>
              <w:t>-</w:t>
            </w:r>
          </w:p>
        </w:tc>
      </w:tr>
    </w:tbl>
    <w:p w:rsidR="0029023B" w:rsidRDefault="0029023B" w:rsidP="0029023B">
      <w:pPr>
        <w:pStyle w:val="1"/>
        <w:tabs>
          <w:tab w:val="left" w:pos="13285"/>
        </w:tabs>
      </w:pPr>
      <w:bookmarkStart w:id="1" w:name="Схема_границ-A3"/>
      <w:bookmarkEnd w:id="1"/>
    </w:p>
    <w:p w:rsidR="0029023B" w:rsidRPr="0029023B" w:rsidRDefault="0029023B" w:rsidP="0029023B"/>
    <w:p w:rsidR="0029023B" w:rsidRPr="0029023B" w:rsidRDefault="0029023B" w:rsidP="0029023B"/>
    <w:p w:rsidR="0029023B" w:rsidRDefault="0029023B" w:rsidP="0029023B"/>
    <w:p w:rsidR="002463B0" w:rsidRPr="0029023B" w:rsidRDefault="0029023B" w:rsidP="0029023B">
      <w:pPr>
        <w:tabs>
          <w:tab w:val="left" w:pos="5536"/>
        </w:tabs>
      </w:pPr>
      <w:r>
        <w:tab/>
        <w:t>_________________________</w:t>
      </w:r>
    </w:p>
    <w:sectPr w:rsidR="002463B0" w:rsidRPr="0029023B" w:rsidSect="0029023B">
      <w:pgSz w:w="16840" w:h="2382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8C2"/>
    <w:multiLevelType w:val="hybridMultilevel"/>
    <w:tmpl w:val="9D2625A8"/>
    <w:lvl w:ilvl="0" w:tplc="14E60D50">
      <w:numFmt w:val="bullet"/>
      <w:lvlText w:val="-"/>
      <w:lvlJc w:val="left"/>
      <w:pPr>
        <w:ind w:left="1635" w:hanging="120"/>
      </w:pPr>
      <w:rPr>
        <w:rFonts w:ascii="Microsoft Sans Serif" w:eastAsia="Microsoft Sans Serif" w:hAnsi="Microsoft Sans Serif" w:cs="Microsoft Sans Serif" w:hint="default"/>
        <w:w w:val="104"/>
        <w:sz w:val="19"/>
        <w:szCs w:val="19"/>
        <w:lang w:val="ru-RU" w:eastAsia="en-US" w:bidi="ar-SA"/>
      </w:rPr>
    </w:lvl>
    <w:lvl w:ilvl="1" w:tplc="24E6D016">
      <w:numFmt w:val="bullet"/>
      <w:lvlText w:val="•"/>
      <w:lvlJc w:val="left"/>
      <w:pPr>
        <w:ind w:left="3710" w:hanging="120"/>
      </w:pPr>
      <w:rPr>
        <w:rFonts w:hint="default"/>
        <w:lang w:val="ru-RU" w:eastAsia="en-US" w:bidi="ar-SA"/>
      </w:rPr>
    </w:lvl>
    <w:lvl w:ilvl="2" w:tplc="6744F122">
      <w:numFmt w:val="bullet"/>
      <w:lvlText w:val="•"/>
      <w:lvlJc w:val="left"/>
      <w:pPr>
        <w:ind w:left="5781" w:hanging="120"/>
      </w:pPr>
      <w:rPr>
        <w:rFonts w:hint="default"/>
        <w:lang w:val="ru-RU" w:eastAsia="en-US" w:bidi="ar-SA"/>
      </w:rPr>
    </w:lvl>
    <w:lvl w:ilvl="3" w:tplc="69ECE264">
      <w:numFmt w:val="bullet"/>
      <w:lvlText w:val="•"/>
      <w:lvlJc w:val="left"/>
      <w:pPr>
        <w:ind w:left="7852" w:hanging="120"/>
      </w:pPr>
      <w:rPr>
        <w:rFonts w:hint="default"/>
        <w:lang w:val="ru-RU" w:eastAsia="en-US" w:bidi="ar-SA"/>
      </w:rPr>
    </w:lvl>
    <w:lvl w:ilvl="4" w:tplc="9398D300">
      <w:numFmt w:val="bullet"/>
      <w:lvlText w:val="•"/>
      <w:lvlJc w:val="left"/>
      <w:pPr>
        <w:ind w:left="9923" w:hanging="120"/>
      </w:pPr>
      <w:rPr>
        <w:rFonts w:hint="default"/>
        <w:lang w:val="ru-RU" w:eastAsia="en-US" w:bidi="ar-SA"/>
      </w:rPr>
    </w:lvl>
    <w:lvl w:ilvl="5" w:tplc="5C3CF288">
      <w:numFmt w:val="bullet"/>
      <w:lvlText w:val="•"/>
      <w:lvlJc w:val="left"/>
      <w:pPr>
        <w:ind w:left="11994" w:hanging="120"/>
      </w:pPr>
      <w:rPr>
        <w:rFonts w:hint="default"/>
        <w:lang w:val="ru-RU" w:eastAsia="en-US" w:bidi="ar-SA"/>
      </w:rPr>
    </w:lvl>
    <w:lvl w:ilvl="6" w:tplc="084E1978">
      <w:numFmt w:val="bullet"/>
      <w:lvlText w:val="•"/>
      <w:lvlJc w:val="left"/>
      <w:pPr>
        <w:ind w:left="14065" w:hanging="120"/>
      </w:pPr>
      <w:rPr>
        <w:rFonts w:hint="default"/>
        <w:lang w:val="ru-RU" w:eastAsia="en-US" w:bidi="ar-SA"/>
      </w:rPr>
    </w:lvl>
    <w:lvl w:ilvl="7" w:tplc="6B44ABEA">
      <w:numFmt w:val="bullet"/>
      <w:lvlText w:val="•"/>
      <w:lvlJc w:val="left"/>
      <w:pPr>
        <w:ind w:left="16136" w:hanging="120"/>
      </w:pPr>
      <w:rPr>
        <w:rFonts w:hint="default"/>
        <w:lang w:val="ru-RU" w:eastAsia="en-US" w:bidi="ar-SA"/>
      </w:rPr>
    </w:lvl>
    <w:lvl w:ilvl="8" w:tplc="DD8826E6">
      <w:numFmt w:val="bullet"/>
      <w:lvlText w:val="•"/>
      <w:lvlJc w:val="left"/>
      <w:pPr>
        <w:ind w:left="18207" w:hanging="120"/>
      </w:pPr>
      <w:rPr>
        <w:rFonts w:hint="default"/>
        <w:lang w:val="ru-RU" w:eastAsia="en-US" w:bidi="ar-SA"/>
      </w:rPr>
    </w:lvl>
  </w:abstractNum>
  <w:abstractNum w:abstractNumId="1">
    <w:nsid w:val="5CAF6061"/>
    <w:multiLevelType w:val="hybridMultilevel"/>
    <w:tmpl w:val="70C24776"/>
    <w:lvl w:ilvl="0" w:tplc="0B529686">
      <w:numFmt w:val="bullet"/>
      <w:lvlText w:val="-"/>
      <w:lvlJc w:val="left"/>
      <w:pPr>
        <w:ind w:left="1497" w:hanging="120"/>
      </w:pPr>
      <w:rPr>
        <w:rFonts w:ascii="Microsoft Sans Serif" w:eastAsia="Microsoft Sans Serif" w:hAnsi="Microsoft Sans Serif" w:cs="Microsoft Sans Serif" w:hint="default"/>
        <w:w w:val="104"/>
        <w:sz w:val="19"/>
        <w:szCs w:val="19"/>
        <w:lang w:val="ru-RU" w:eastAsia="en-US" w:bidi="ar-SA"/>
      </w:rPr>
    </w:lvl>
    <w:lvl w:ilvl="1" w:tplc="2A0C9DC0">
      <w:numFmt w:val="bullet"/>
      <w:lvlText w:val="•"/>
      <w:lvlJc w:val="left"/>
      <w:pPr>
        <w:ind w:left="2887" w:hanging="120"/>
      </w:pPr>
      <w:rPr>
        <w:rFonts w:hint="default"/>
        <w:lang w:val="ru-RU" w:eastAsia="en-US" w:bidi="ar-SA"/>
      </w:rPr>
    </w:lvl>
    <w:lvl w:ilvl="2" w:tplc="4EB04648">
      <w:numFmt w:val="bullet"/>
      <w:lvlText w:val="•"/>
      <w:lvlJc w:val="left"/>
      <w:pPr>
        <w:ind w:left="4274" w:hanging="120"/>
      </w:pPr>
      <w:rPr>
        <w:rFonts w:hint="default"/>
        <w:lang w:val="ru-RU" w:eastAsia="en-US" w:bidi="ar-SA"/>
      </w:rPr>
    </w:lvl>
    <w:lvl w:ilvl="3" w:tplc="B7363230">
      <w:numFmt w:val="bullet"/>
      <w:lvlText w:val="•"/>
      <w:lvlJc w:val="left"/>
      <w:pPr>
        <w:ind w:left="5662" w:hanging="120"/>
      </w:pPr>
      <w:rPr>
        <w:rFonts w:hint="default"/>
        <w:lang w:val="ru-RU" w:eastAsia="en-US" w:bidi="ar-SA"/>
      </w:rPr>
    </w:lvl>
    <w:lvl w:ilvl="4" w:tplc="AFEA2FDC">
      <w:numFmt w:val="bullet"/>
      <w:lvlText w:val="•"/>
      <w:lvlJc w:val="left"/>
      <w:pPr>
        <w:ind w:left="7049" w:hanging="120"/>
      </w:pPr>
      <w:rPr>
        <w:rFonts w:hint="default"/>
        <w:lang w:val="ru-RU" w:eastAsia="en-US" w:bidi="ar-SA"/>
      </w:rPr>
    </w:lvl>
    <w:lvl w:ilvl="5" w:tplc="55480832">
      <w:numFmt w:val="bullet"/>
      <w:lvlText w:val="•"/>
      <w:lvlJc w:val="left"/>
      <w:pPr>
        <w:ind w:left="8437" w:hanging="120"/>
      </w:pPr>
      <w:rPr>
        <w:rFonts w:hint="default"/>
        <w:lang w:val="ru-RU" w:eastAsia="en-US" w:bidi="ar-SA"/>
      </w:rPr>
    </w:lvl>
    <w:lvl w:ilvl="6" w:tplc="ADFC4412">
      <w:numFmt w:val="bullet"/>
      <w:lvlText w:val="•"/>
      <w:lvlJc w:val="left"/>
      <w:pPr>
        <w:ind w:left="9824" w:hanging="120"/>
      </w:pPr>
      <w:rPr>
        <w:rFonts w:hint="default"/>
        <w:lang w:val="ru-RU" w:eastAsia="en-US" w:bidi="ar-SA"/>
      </w:rPr>
    </w:lvl>
    <w:lvl w:ilvl="7" w:tplc="FCD4130C">
      <w:numFmt w:val="bullet"/>
      <w:lvlText w:val="•"/>
      <w:lvlJc w:val="left"/>
      <w:pPr>
        <w:ind w:left="11211" w:hanging="120"/>
      </w:pPr>
      <w:rPr>
        <w:rFonts w:hint="default"/>
        <w:lang w:val="ru-RU" w:eastAsia="en-US" w:bidi="ar-SA"/>
      </w:rPr>
    </w:lvl>
    <w:lvl w:ilvl="8" w:tplc="10A4C440">
      <w:numFmt w:val="bullet"/>
      <w:lvlText w:val="•"/>
      <w:lvlJc w:val="left"/>
      <w:pPr>
        <w:ind w:left="12599" w:hanging="120"/>
      </w:pPr>
      <w:rPr>
        <w:rFonts w:hint="default"/>
        <w:lang w:val="ru-RU" w:eastAsia="en-US" w:bidi="ar-SA"/>
      </w:rPr>
    </w:lvl>
  </w:abstractNum>
  <w:abstractNum w:abstractNumId="2">
    <w:nsid w:val="5E0B1E82"/>
    <w:multiLevelType w:val="hybridMultilevel"/>
    <w:tmpl w:val="388CDEA0"/>
    <w:lvl w:ilvl="0" w:tplc="60EE2684">
      <w:numFmt w:val="bullet"/>
      <w:lvlText w:val="-"/>
      <w:lvlJc w:val="left"/>
      <w:pPr>
        <w:ind w:left="1611" w:hanging="122"/>
      </w:pPr>
      <w:rPr>
        <w:rFonts w:ascii="Microsoft Sans Serif" w:eastAsia="Microsoft Sans Serif" w:hAnsi="Microsoft Sans Serif" w:cs="Microsoft Sans Serif" w:hint="default"/>
        <w:w w:val="104"/>
        <w:sz w:val="19"/>
        <w:szCs w:val="19"/>
        <w:lang w:val="ru-RU" w:eastAsia="en-US" w:bidi="ar-SA"/>
      </w:rPr>
    </w:lvl>
    <w:lvl w:ilvl="1" w:tplc="F2509140">
      <w:numFmt w:val="bullet"/>
      <w:lvlText w:val="•"/>
      <w:lvlJc w:val="left"/>
      <w:pPr>
        <w:ind w:left="2995" w:hanging="122"/>
      </w:pPr>
      <w:rPr>
        <w:rFonts w:hint="default"/>
        <w:lang w:val="ru-RU" w:eastAsia="en-US" w:bidi="ar-SA"/>
      </w:rPr>
    </w:lvl>
    <w:lvl w:ilvl="2" w:tplc="E7D8E606">
      <w:numFmt w:val="bullet"/>
      <w:lvlText w:val="•"/>
      <w:lvlJc w:val="left"/>
      <w:pPr>
        <w:ind w:left="4370" w:hanging="122"/>
      </w:pPr>
      <w:rPr>
        <w:rFonts w:hint="default"/>
        <w:lang w:val="ru-RU" w:eastAsia="en-US" w:bidi="ar-SA"/>
      </w:rPr>
    </w:lvl>
    <w:lvl w:ilvl="3" w:tplc="2F48501E">
      <w:numFmt w:val="bullet"/>
      <w:lvlText w:val="•"/>
      <w:lvlJc w:val="left"/>
      <w:pPr>
        <w:ind w:left="5746" w:hanging="122"/>
      </w:pPr>
      <w:rPr>
        <w:rFonts w:hint="default"/>
        <w:lang w:val="ru-RU" w:eastAsia="en-US" w:bidi="ar-SA"/>
      </w:rPr>
    </w:lvl>
    <w:lvl w:ilvl="4" w:tplc="0A080F56">
      <w:numFmt w:val="bullet"/>
      <w:lvlText w:val="•"/>
      <w:lvlJc w:val="left"/>
      <w:pPr>
        <w:ind w:left="7121" w:hanging="122"/>
      </w:pPr>
      <w:rPr>
        <w:rFonts w:hint="default"/>
        <w:lang w:val="ru-RU" w:eastAsia="en-US" w:bidi="ar-SA"/>
      </w:rPr>
    </w:lvl>
    <w:lvl w:ilvl="5" w:tplc="C58E7820">
      <w:numFmt w:val="bullet"/>
      <w:lvlText w:val="•"/>
      <w:lvlJc w:val="left"/>
      <w:pPr>
        <w:ind w:left="8497" w:hanging="122"/>
      </w:pPr>
      <w:rPr>
        <w:rFonts w:hint="default"/>
        <w:lang w:val="ru-RU" w:eastAsia="en-US" w:bidi="ar-SA"/>
      </w:rPr>
    </w:lvl>
    <w:lvl w:ilvl="6" w:tplc="CBC27728">
      <w:numFmt w:val="bullet"/>
      <w:lvlText w:val="•"/>
      <w:lvlJc w:val="left"/>
      <w:pPr>
        <w:ind w:left="9872" w:hanging="122"/>
      </w:pPr>
      <w:rPr>
        <w:rFonts w:hint="default"/>
        <w:lang w:val="ru-RU" w:eastAsia="en-US" w:bidi="ar-SA"/>
      </w:rPr>
    </w:lvl>
    <w:lvl w:ilvl="7" w:tplc="DF2892D6">
      <w:numFmt w:val="bullet"/>
      <w:lvlText w:val="•"/>
      <w:lvlJc w:val="left"/>
      <w:pPr>
        <w:ind w:left="11247" w:hanging="122"/>
      </w:pPr>
      <w:rPr>
        <w:rFonts w:hint="default"/>
        <w:lang w:val="ru-RU" w:eastAsia="en-US" w:bidi="ar-SA"/>
      </w:rPr>
    </w:lvl>
    <w:lvl w:ilvl="8" w:tplc="B9A225B8">
      <w:numFmt w:val="bullet"/>
      <w:lvlText w:val="•"/>
      <w:lvlJc w:val="left"/>
      <w:pPr>
        <w:ind w:left="12623" w:hanging="1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63B0"/>
    <w:rsid w:val="002463B0"/>
    <w:rsid w:val="002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4" w:lineRule="exact"/>
      <w:ind w:left="9317"/>
      <w:outlineLvl w:val="0"/>
    </w:pPr>
    <w:rPr>
      <w:rFonts w:ascii="MS UI Gothic" w:eastAsia="MS UI Gothic" w:hAnsi="MS UI Gothic" w:cs="MS UI Gothic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34" w:lineRule="exact"/>
    </w:pPr>
    <w:rPr>
      <w:rFonts w:ascii="Calibri" w:eastAsia="Calibri" w:hAnsi="Calibri" w:cs="Calibri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9"/>
    </w:pPr>
  </w:style>
  <w:style w:type="paragraph" w:customStyle="1" w:styleId="a5">
    <w:name w:val="Название раздела"/>
    <w:basedOn w:val="a"/>
    <w:rsid w:val="0029023B"/>
    <w:pPr>
      <w:widowControl/>
      <w:autoSpaceDE/>
      <w:autoSpaceDN/>
      <w:jc w:val="center"/>
    </w:pPr>
    <w:rPr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23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4" w:lineRule="exact"/>
      <w:ind w:left="9317"/>
      <w:outlineLvl w:val="0"/>
    </w:pPr>
    <w:rPr>
      <w:rFonts w:ascii="MS UI Gothic" w:eastAsia="MS UI Gothic" w:hAnsi="MS UI Gothic" w:cs="MS UI Gothic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134" w:lineRule="exact"/>
    </w:pPr>
    <w:rPr>
      <w:rFonts w:ascii="Calibri" w:eastAsia="Calibri" w:hAnsi="Calibri" w:cs="Calibri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9"/>
    </w:pPr>
  </w:style>
  <w:style w:type="paragraph" w:customStyle="1" w:styleId="a5">
    <w:name w:val="Название раздела"/>
    <w:basedOn w:val="a"/>
    <w:rsid w:val="0029023B"/>
    <w:pPr>
      <w:widowControl/>
      <w:autoSpaceDE/>
      <w:autoSpaceDN/>
      <w:jc w:val="center"/>
    </w:pPr>
    <w:rPr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2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prim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WSUSER</cp:lastModifiedBy>
  <cp:revision>2</cp:revision>
  <cp:lastPrinted>2024-09-30T00:52:00Z</cp:lastPrinted>
  <dcterms:created xsi:type="dcterms:W3CDTF">2024-09-30T00:54:00Z</dcterms:created>
  <dcterms:modified xsi:type="dcterms:W3CDTF">2024-09-30T00:54:00Z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2024-09-29T00:00:00Z</vt:filetime>
  </property>
</Properties>
</file>